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42"/>
          <w:szCs w:val="42"/>
          <w:u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附件三：</w:t>
      </w:r>
      <w:r>
        <w:rPr>
          <w:rFonts w:hint="default" w:ascii="方正小标宋简体" w:hAnsi="方正小标宋简体" w:eastAsia="方正小标宋简体" w:cs="方正小标宋简体"/>
          <w:sz w:val="32"/>
          <w:szCs w:val="40"/>
          <w:lang w:val="en-US" w:eastAsia="zh-Hans"/>
        </w:rPr>
        <w:t>关于开展北京师范大学2021-2022学年院系级研究生会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Hans"/>
        </w:rPr>
        <w:t>“特色工作奖”评选的通知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Hans"/>
          <w14:textFill>
            <w14:solidFill>
              <w14:schemeClr w14:val="tx1"/>
            </w14:solidFill>
          </w14:textFill>
        </w:rPr>
        <w:t>院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Hans"/>
          <w14:textFill>
            <w14:solidFill>
              <w14:schemeClr w14:val="tx1"/>
            </w14:solidFill>
          </w14:textFill>
        </w:rPr>
        <w:t>系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Hans"/>
          <w14:textFill>
            <w14:solidFill>
              <w14:schemeClr w14:val="tx1"/>
            </w14:solidFill>
          </w14:textFill>
        </w:rPr>
        <w:t>研究生会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深入贯彻落实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中共北京师范大学委员会印发的《关于推动学生会（研究生会）深化改革的实施意见》文件精神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，着力提升研究生会服务广大同学成长成才的能力与水平，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校研究生会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决定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在2021-2022学年院系级研究生会工作考评中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开展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特色工作奖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评选</w:t>
      </w:r>
      <w:r>
        <w:rPr>
          <w:rFonts w:hint="default" w:ascii="仿宋" w:hAnsi="仿宋" w:eastAsia="仿宋" w:cs="仿宋"/>
          <w:sz w:val="28"/>
          <w:szCs w:val="28"/>
          <w:lang w:val="en-US" w:eastAsia="zh-Hans"/>
        </w:rPr>
        <w:t>工作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通过选树典型，发挥榜样示范作用，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Hans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一、 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Hans" w:bidi="ar-SA"/>
        </w:rPr>
        <w:t>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本次考评坚持以习近平新时代中国特色社会主义思想为指导，深入学习宣传贯彻党的二十大精神，积极落实《学联学生会组织改革方案》精神，结合中共北京师范大学委员会印发的《关于推动学生会（研究生会）深化改革的实施意见》文件要求</w:t>
      </w:r>
      <w:r>
        <w:rPr>
          <w:rFonts w:hint="default" w:ascii="仿宋" w:hAnsi="仿宋" w:eastAsia="仿宋" w:cs="仿宋"/>
          <w:sz w:val="28"/>
          <w:szCs w:val="28"/>
          <w:lang w:val="en-US" w:eastAsia="zh-Hans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面向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各院</w:t>
      </w:r>
      <w:r>
        <w:rPr>
          <w:rFonts w:hint="default" w:ascii="仿宋" w:hAnsi="仿宋" w:eastAsia="仿宋" w:cs="仿宋"/>
          <w:sz w:val="28"/>
          <w:szCs w:val="28"/>
          <w:lang w:val="en-US" w:eastAsia="zh-Hans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</w:t>
      </w:r>
      <w:r>
        <w:rPr>
          <w:rFonts w:hint="default" w:ascii="仿宋" w:hAnsi="仿宋" w:eastAsia="仿宋" w:cs="仿宋"/>
          <w:sz w:val="28"/>
          <w:szCs w:val="28"/>
          <w:lang w:val="en-US" w:eastAsia="zh-Hans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研究生会开展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特色工作奖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”评选工作</w:t>
      </w:r>
      <w:r>
        <w:rPr>
          <w:rFonts w:hint="default" w:ascii="仿宋" w:hAnsi="仿宋" w:eastAsia="仿宋" w:cs="仿宋"/>
          <w:sz w:val="28"/>
          <w:szCs w:val="28"/>
          <w:lang w:val="en-US" w:eastAsia="zh-Hans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 评选细则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2021-2022学年院系级研究生会“特色工作奖”共涵盖思想引领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权益服务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校园文化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宣传创新四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个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方面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各院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系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）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研究生会仅能从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本奖项涉及的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四个方面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中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选取一个方面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申报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，具体评定细则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参照中共北京师范大学委员会印发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《关于推动高校学生会（研究生会）深化改革的实施意见》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文件精神制定如下：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36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（一）思想引领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方面</w:t>
      </w:r>
    </w:p>
    <w:tbl>
      <w:tblPr>
        <w:tblStyle w:val="8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3895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389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得分标准</w:t>
            </w:r>
          </w:p>
        </w:tc>
        <w:tc>
          <w:tcPr>
            <w:tcW w:w="216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支撑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思想引领工作形式丰富，种类多样，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理论学习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与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实践参与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有机结合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3895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活动内容需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包括相关重要思想和讲话的集体学习等理论活动，也包含主题教育实践活动。</w:t>
            </w:r>
          </w:p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学习形式较以往具有多样性和创新性。</w:t>
            </w:r>
          </w:p>
        </w:tc>
        <w:tc>
          <w:tcPr>
            <w:tcW w:w="216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提供2021-2022学年开展思想引领工作清单。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紧跟时事热点，具有思想引领的时效性和敏感性。</w:t>
            </w:r>
          </w:p>
        </w:tc>
        <w:tc>
          <w:tcPr>
            <w:tcW w:w="389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抓住重要时间节点，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及时开展专题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学习或讨论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。</w:t>
            </w:r>
          </w:p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结合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重要时间节点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集体学习相关证明材料（策划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或相关的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会议记录等有效证明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关注学生思想道德教育，弘扬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榜样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精神。</w:t>
            </w:r>
          </w:p>
        </w:tc>
        <w:tc>
          <w:tcPr>
            <w:tcW w:w="389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树立先进典型，通过宣传报道等形式宣传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院系校友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、教职工、研究生个人或集体等先进事迹。</w:t>
            </w:r>
          </w:p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开展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其他优秀传统文化精神等的相关活动。</w:t>
            </w:r>
          </w:p>
        </w:tc>
        <w:tc>
          <w:tcPr>
            <w:tcW w:w="216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提交相关活动的策划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或其他支撑材料。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思想引领渠道广泛，发挥良好宣传作用。</w:t>
            </w:r>
          </w:p>
        </w:tc>
        <w:tc>
          <w:tcPr>
            <w:tcW w:w="389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在媒体平台（如微信、微博、短视频平台等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发布相关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重要思想/重要讲话/重大事件等学习和宣传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推送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。</w:t>
            </w:r>
          </w:p>
          <w:p>
            <w:pPr>
              <w:numPr>
                <w:ilvl w:val="255"/>
                <w:numId w:val="0"/>
              </w:num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加强校院联动，积极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转发校研究生会思想引领的相关推文。</w:t>
            </w:r>
          </w:p>
          <w:p>
            <w:pPr>
              <w:numPr>
                <w:ilvl w:val="255"/>
                <w:numId w:val="0"/>
              </w:num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思想引领宣传深入人心，相关学习的原创推文具有一定阅读量。</w:t>
            </w:r>
          </w:p>
        </w:tc>
        <w:tc>
          <w:tcPr>
            <w:tcW w:w="216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提交相关推文或其他支撑材料。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涉及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思想引领的其他活动</w:t>
            </w:r>
          </w:p>
        </w:tc>
        <w:tc>
          <w:tcPr>
            <w:tcW w:w="389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活动主题紧扣时事热点，形式具有创新性。</w:t>
            </w:r>
          </w:p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活动内容积极向上，能够发挥引导与示范作用。</w:t>
            </w:r>
          </w:p>
        </w:tc>
        <w:tc>
          <w:tcPr>
            <w:tcW w:w="216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提交相关活动的策划，推文或其他支撑材料。</w:t>
            </w: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（二）权益服务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方面</w:t>
      </w:r>
    </w:p>
    <w:tbl>
      <w:tblPr>
        <w:tblStyle w:val="3"/>
        <w:tblW w:w="8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3900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项目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得分标准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支撑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权益服务工作体系健全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组织架构完整，设立权益服务部门，扎实做好学生权益服务工作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设立与权益服务相关的专职工作部门等相关证明材料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权益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沟通渠道畅通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与广大同学沟通密切，建立院-班两级权益工作联系群或其他权益反馈平台，能够及时了解同学需求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搭建沟通渠道平台等相关证明（如权益服务群等截图）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权益反馈及时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有效。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及时收集、听取、反映并推动解决涉及广大同学切实利益和普遍诉求的问题，并有相应的工作记录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权益工作反馈记录（如照片、回复记录等）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权益活动形式多样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聚焦广大同学的普遍需求和现实困难，组织开展多种类型的权益服务工作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活动证明材料（如相关推文、新闻稿、活动现场照片等）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权益活动内容丰富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结合研究生群体发展实际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开展学术类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心理类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生活类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就业类相关活动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服务学生成长成才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活动证明材料（如相关推文、新闻稿、活动现场照片等）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（三）校园文化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方面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tbl>
      <w:tblPr>
        <w:tblStyle w:val="9"/>
        <w:tblW w:w="8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900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39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得分标准</w:t>
            </w:r>
          </w:p>
        </w:tc>
        <w:tc>
          <w:tcPr>
            <w:tcW w:w="19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支撑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160" w:type="dxa"/>
            <w:vMerge w:val="restart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组织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90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组织架构完整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设立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文艺、体育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部门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重视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院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文艺、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体育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96" w:type="dxa"/>
            <w:vMerge w:val="restart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.设立与文体工作相关的工作部门等相关证明材料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完整的文体活动策划书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.活动证明材料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如相关推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、新闻稿、活动现场照片等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活动设计合理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流程规范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能够通过建立激励机制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鼓励学生积极参加课外社会实践及志愿服务活动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9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21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类型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多样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90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能够聚焦研究生群体实际需求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积极开展各类校园文化活动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活动主题能体现学院特色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9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活动证明材料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如相关推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、新闻稿、活动现场照片等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21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活动形式创新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90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组织策划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创意性强，形式新颖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有意义的活动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体现学院特色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覆盖面广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影响力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96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活动证明材料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如相关推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、新闻稿、活动现场照片等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活动反响热烈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90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组织策划同学认可度高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覆盖面广的精品校园文体活动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不断促进广大同学身心健康和全面发展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96" w:type="dxa"/>
            <w:vAlign w:val="center"/>
          </w:tcPr>
          <w:p>
            <w:pPr>
              <w:numPr>
                <w:ilvl w:val="255"/>
                <w:numId w:val="0"/>
              </w:num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活动证明材料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如相关推文、新闻稿、活动现场照片等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（四）宣传创新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方面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tbl>
      <w:tblPr>
        <w:tblStyle w:val="9"/>
        <w:tblW w:w="8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3903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39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得分标准</w:t>
            </w:r>
          </w:p>
        </w:tc>
        <w:tc>
          <w:tcPr>
            <w:tcW w:w="20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支撑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融媒体宣传平台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规范度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规范建设官方宣传账号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建有独立的微信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公众号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等新媒体平台。</w:t>
            </w:r>
          </w:p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规范运营账号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具有稳定的新闻宣传技能运营团队，完成新媒体宣传日常工作。</w:t>
            </w:r>
          </w:p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规范管理账号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所有新媒体平台均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配备专门指导老师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2088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提供宣传平台账号、后台粉丝量、现有运营团队及分工名单、分管的主席团成员及指导老师名单。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新闻宣传平台热度与运营效果。</w:t>
            </w:r>
          </w:p>
        </w:tc>
        <w:tc>
          <w:tcPr>
            <w:tcW w:w="390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1.积极对外对内宣传；官方公众号等其他融媒体宣传平台每周、每月推文达到一定数量，并保持稳定。</w:t>
            </w:r>
          </w:p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.积极推广作品；官方公众号等其他融媒体宣传作品具有可观点击率与阅读量。</w:t>
            </w:r>
          </w:p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. 积极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运营维护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账号；粉丝同比增长率（新增粉丝数÷上年同期粉丝数）、粉丝阅读有效转化数（总阅读量÷总粉丝数）较往年有明显提升。</w:t>
            </w:r>
          </w:p>
        </w:tc>
        <w:tc>
          <w:tcPr>
            <w:tcW w:w="2088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1.2021-2022学年每月推文数量和阅读量报表，（例如每月文章阅读总人数、点赞数、评论数）并附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院系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学生人数。</w:t>
            </w:r>
          </w:p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2.粉丝增长量报表及计算结果。</w:t>
            </w:r>
          </w:p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（以上材料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附在一张表格内）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被其他媒体、平台转载。</w:t>
            </w:r>
          </w:p>
        </w:tc>
        <w:tc>
          <w:tcPr>
            <w:tcW w:w="390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积极对外宣传，增强活动影响力；研究生会开展的工作或活动产生较大影响，获国家级、市级媒体报道：</w:t>
            </w:r>
          </w:p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省级及省级以上媒体：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例如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人民日报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新华社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中国青年报、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北京日报、北京晚报、北京共青团网等。</w:t>
            </w:r>
          </w:p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校级媒体：校官方微信公众号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校官方网站，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青春北师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，校研究生会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官方微信公众号等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2088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报道刊登截图及文章全文。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原创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推送。</w:t>
            </w:r>
          </w:p>
        </w:tc>
        <w:tc>
          <w:tcPr>
            <w:tcW w:w="3903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积极打造特色宣传；官方宣传平台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推出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特色宣传文章或者阅读量远超过平均阅读量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088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高浏览量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文章推文后台数据，包括阅读量和点赞数和转发评论数据等，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高浏览量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文章链接以及全文截图。</w:t>
            </w:r>
          </w:p>
        </w:tc>
      </w:tr>
    </w:tbl>
    <w:p>
      <w:pPr>
        <w:spacing w:line="360" w:lineRule="auto"/>
        <w:ind w:firstLine="480"/>
        <w:rPr>
          <w:rFonts w:hint="default" w:ascii="仿宋" w:hAnsi="仿宋" w:eastAsia="仿宋"/>
          <w:sz w:val="24"/>
          <w:szCs w:val="28"/>
          <w:lang w:eastAsia="zh-Hans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36"/>
          <w:lang w:val="en-US" w:eastAsia="zh-CN" w:bidi="ar-SA"/>
        </w:rPr>
        <w:t>三、注意事项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36"/>
          <w:lang w:val="en-US" w:eastAsia="zh-Hans" w:bidi="ar-SA"/>
        </w:rPr>
        <w:t>（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36"/>
          <w:lang w:val="en-US" w:eastAsia="zh-CN" w:bidi="ar-SA"/>
        </w:rPr>
        <w:t>一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36"/>
          <w:lang w:val="en-US" w:eastAsia="zh-Hans" w:bidi="ar-SA"/>
        </w:rPr>
        <w:t>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36"/>
          <w:lang w:val="en-US" w:eastAsia="zh-CN" w:bidi="ar-SA"/>
        </w:rPr>
        <w:t>评选要求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Hans"/>
        </w:rPr>
      </w:pP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1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.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本奖项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评选依据各院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系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研究生会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所提交的支撑材料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评审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不另设线下答辩活动</w:t>
      </w:r>
      <w:r>
        <w:rPr>
          <w:rFonts w:hint="default" w:ascii="仿宋" w:hAnsi="仿宋" w:eastAsia="仿宋" w:cs="仿宋"/>
          <w:sz w:val="28"/>
          <w:szCs w:val="36"/>
          <w:lang w:val="en-US" w:eastAsia="zh-Hans"/>
        </w:rPr>
        <w:t>。</w:t>
      </w:r>
    </w:p>
    <w:p>
      <w:pPr>
        <w:ind w:firstLine="562" w:firstLineChars="200"/>
        <w:jc w:val="both"/>
        <w:rPr>
          <w:rFonts w:hint="default" w:ascii="仿宋" w:hAnsi="仿宋" w:eastAsia="仿宋" w:cs="仿宋"/>
          <w:b/>
          <w:bCs/>
          <w:sz w:val="28"/>
          <w:szCs w:val="36"/>
          <w:lang w:val="en-US" w:eastAsia="zh-Hans"/>
        </w:rPr>
      </w:pPr>
      <w:r>
        <w:rPr>
          <w:rFonts w:hint="default" w:ascii="仿宋" w:hAnsi="仿宋" w:eastAsia="仿宋" w:cs="仿宋"/>
          <w:b/>
          <w:bCs/>
          <w:sz w:val="28"/>
          <w:szCs w:val="36"/>
          <w:lang w:val="en-US" w:eastAsia="zh-Hans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Hans"/>
        </w:rPr>
        <w:t>.各院</w:t>
      </w:r>
      <w:r>
        <w:rPr>
          <w:rFonts w:hint="default" w:ascii="仿宋" w:hAnsi="仿宋" w:eastAsia="仿宋" w:cs="仿宋"/>
          <w:b/>
          <w:bCs/>
          <w:sz w:val="28"/>
          <w:szCs w:val="36"/>
          <w:lang w:val="en-US" w:eastAsia="zh-Hans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Hans"/>
        </w:rPr>
        <w:t>系</w:t>
      </w:r>
      <w:r>
        <w:rPr>
          <w:rFonts w:hint="default" w:ascii="仿宋" w:hAnsi="仿宋" w:eastAsia="仿宋" w:cs="仿宋"/>
          <w:b/>
          <w:bCs/>
          <w:sz w:val="28"/>
          <w:szCs w:val="36"/>
          <w:lang w:val="en-US" w:eastAsia="zh-Hans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Hans"/>
        </w:rPr>
        <w:t>研究生会仅能从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本奖项涉及的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Hans"/>
        </w:rPr>
        <w:t>四个方面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中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Hans"/>
        </w:rPr>
        <w:t>选取一个方面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进行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Hans"/>
        </w:rPr>
        <w:t>申报</w:t>
      </w:r>
      <w:r>
        <w:rPr>
          <w:rFonts w:hint="default" w:ascii="仿宋" w:hAnsi="仿宋" w:eastAsia="仿宋" w:cs="仿宋"/>
          <w:b/>
          <w:bCs/>
          <w:sz w:val="28"/>
          <w:szCs w:val="36"/>
          <w:lang w:val="en-US" w:eastAsia="zh-Hans"/>
        </w:rPr>
        <w:t>。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3.本奖项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评选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将严格依照院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系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）研究生会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提供的证明材料逐项进行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考核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，无证明材料或材料支撑不足的该项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视为未满足考核要求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。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4.在本次考评中获得“优秀研究生会”的院（系）研究生会不兼得本奖项。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36"/>
          <w:lang w:val="en-US" w:eastAsia="zh-CN" w:bidi="ar-SA"/>
        </w:rPr>
        <w:t>（二）评选流程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1.电子材料提交阶段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11月21日（星期一）10:00前，有意向参评本奖项的院(系)研究生会将《2021-2022学年院系级研究生会“特色工作奖”申报表》及支撑材料电子版整合至压缩包中发至校研究生会邮箱：5248yanjiusheng@bnu.edu.cn。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2.纸质材料提交阶段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11月21日（星期一）10:00-12:00，各院（系）研究生会将《2022年北京师范大学院（系）研究生会“特色工作奖”申报表》及支撑材料纸质版（各一份）交至校研究生会办公室（学16楼南侧108办公室）。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3.结果公示阶段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与“优秀研究生会”“改革先锋奖”奖项同步公示，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公示期为三天，公示届满无异议将依照规定进行表彰。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pPr>
        <w:ind w:left="559" w:leftChars="266" w:firstLine="0" w:firstLineChars="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 xml:space="preserve">联系人：张艺珂 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br w:type="textWrapping"/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联系电话：18013526936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附件1：《2021-2022学年院系级研究生会“特色工作表”申报表》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附件2：支撑材料首页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Hans"/>
          <w14:textFill>
            <w14:solidFill>
              <w14:schemeClr w14:val="tx1"/>
            </w14:solidFill>
          </w14:textFill>
        </w:rPr>
        <w:t>研究生会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Hans"/>
          <w14:textFill>
            <w14:solidFill>
              <w14:schemeClr w14:val="tx1"/>
            </w14:solidFill>
          </w14:textFill>
        </w:rPr>
        <w:t>二〇二二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Hans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Hans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2021-2022学年院系级研究生会“特色工作奖”申报表</w:t>
      </w:r>
    </w:p>
    <w:tbl>
      <w:tblPr>
        <w:tblStyle w:val="3"/>
        <w:tblW w:w="10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962"/>
        <w:gridCol w:w="758"/>
        <w:gridCol w:w="58"/>
        <w:gridCol w:w="1229"/>
        <w:gridCol w:w="717"/>
        <w:gridCol w:w="1289"/>
        <w:gridCol w:w="2477"/>
        <w:gridCol w:w="174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2653" w:type="dxa"/>
            <w:gridSpan w:val="4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Hans"/>
              </w:rPr>
              <w:t>院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/>
                <w:sz w:val="24"/>
                <w:highlight w:val="none"/>
                <w:lang w:val="en-US" w:eastAsia="zh-Hans"/>
              </w:rPr>
              <w:t>系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）研究生会</w:t>
            </w:r>
            <w:r>
              <w:rPr>
                <w:sz w:val="24"/>
                <w:highlight w:val="none"/>
              </w:rPr>
              <w:t>名称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265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highlight w:val="none"/>
                <w:lang w:eastAsia="zh-Hans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特色工作涉及方面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CN"/>
              </w:rPr>
              <w:t>（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思想引领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CN"/>
              </w:rPr>
              <w:t>/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权益服务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CN"/>
              </w:rPr>
              <w:t>/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校园文化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CN"/>
              </w:rPr>
              <w:t>/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宣传创新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3" w:hRule="atLeast"/>
          <w:jc w:val="center"/>
        </w:trPr>
        <w:tc>
          <w:tcPr>
            <w:tcW w:w="10108" w:type="dxa"/>
            <w:gridSpan w:val="9"/>
            <w:vAlign w:val="center"/>
          </w:tcPr>
          <w:p>
            <w:pPr>
              <w:jc w:val="center"/>
              <w:rPr>
                <w:rFonts w:hint="eastAsia" w:ascii="Songti SC Regular" w:hAnsi="Songti SC Regular" w:eastAsia="宋体" w:cs="Songti SC Regular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1"/>
              </w:rPr>
              <w:t>特色工作涉及方面品牌活动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1"/>
                <w:lang w:val="en-US" w:eastAsia="zh-CN"/>
              </w:rPr>
              <w:t>宣传报道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3" w:hRule="atLeast"/>
          <w:jc w:val="center"/>
        </w:trPr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</w:rPr>
              <w:t>活动名称</w:t>
            </w: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  <w:lang w:val="en-US" w:eastAsia="zh-CN"/>
              </w:rPr>
              <w:t>宣传题目</w:t>
            </w: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</w:rPr>
              <w:t>活动类型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</w:rPr>
              <w:t>活动时间</w:t>
            </w: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  <w:lang w:val="en-US" w:eastAsia="zh-CN"/>
              </w:rPr>
              <w:t>宣传时间</w:t>
            </w: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</w:rPr>
              <w:t>参与人数</w:t>
            </w: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  <w:lang w:val="en-US" w:eastAsia="zh-CN"/>
              </w:rPr>
              <w:t>浏览人数</w:t>
            </w: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</w:rPr>
              <w:t>活动群体</w:t>
            </w: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  <w:lang w:val="en-US" w:eastAsia="zh-CN"/>
              </w:rPr>
              <w:t>浏览群体</w:t>
            </w: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</w:rPr>
              <w:t>活动效果</w:t>
            </w: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  <w:lang w:val="en-US" w:eastAsia="zh-CN"/>
              </w:rPr>
              <w:t>宣传效果</w:t>
            </w: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0"/>
                <w:szCs w:val="20"/>
              </w:rPr>
              <w:t>是否跨院系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3" w:hRule="atLeast"/>
          <w:jc w:val="center"/>
        </w:trPr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（线上/线下）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3" w:hRule="atLeast"/>
          <w:jc w:val="center"/>
        </w:trPr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3" w:hRule="atLeast"/>
          <w:jc w:val="center"/>
        </w:trPr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3" w:hRule="atLeast"/>
          <w:jc w:val="center"/>
        </w:trPr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3" w:hRule="atLeast"/>
          <w:jc w:val="center"/>
        </w:trPr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3" w:hRule="atLeast"/>
          <w:jc w:val="center"/>
        </w:trPr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3" w:hRule="atLeast"/>
          <w:jc w:val="center"/>
        </w:trPr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8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工作思路</w:t>
            </w:r>
          </w:p>
        </w:tc>
        <w:tc>
          <w:tcPr>
            <w:tcW w:w="924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Songti SC Regular" w:hAnsi="Songti SC Regular" w:eastAsia="Songti SC Regular" w:cs="Songti SC Regular"/>
                <w:highlight w:val="no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CN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highlight w:val="none"/>
                <w:lang w:val="en-US" w:eastAsia="zh-Hans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工作举措</w:t>
            </w:r>
          </w:p>
          <w:p>
            <w:pPr>
              <w:jc w:val="center"/>
              <w:rPr>
                <w:rFonts w:hint="default"/>
                <w:bCs/>
                <w:sz w:val="24"/>
                <w:highlight w:val="none"/>
                <w:lang w:eastAsia="zh-Hans"/>
              </w:rPr>
            </w:pPr>
            <w:r>
              <w:rPr>
                <w:rFonts w:hint="default"/>
                <w:bCs/>
                <w:sz w:val="24"/>
                <w:highlight w:val="none"/>
                <w:lang w:eastAsia="zh-Hans"/>
              </w:rPr>
              <w:t>（</w:t>
            </w: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队伍</w:t>
            </w:r>
            <w:r>
              <w:rPr>
                <w:rFonts w:hint="default"/>
                <w:bCs/>
                <w:sz w:val="24"/>
                <w:highlight w:val="none"/>
                <w:lang w:eastAsia="zh-Hans"/>
              </w:rPr>
              <w:t>、</w:t>
            </w:r>
          </w:p>
          <w:p>
            <w:pPr>
              <w:jc w:val="center"/>
              <w:rPr>
                <w:rFonts w:hint="default"/>
                <w:bCs/>
                <w:sz w:val="24"/>
                <w:highlight w:val="none"/>
                <w:lang w:eastAsia="zh-Hans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平台</w:t>
            </w:r>
            <w:r>
              <w:rPr>
                <w:rFonts w:hint="default"/>
                <w:bCs/>
                <w:sz w:val="24"/>
                <w:highlight w:val="none"/>
                <w:lang w:eastAsia="zh-Hans"/>
              </w:rPr>
              <w:t>、</w:t>
            </w:r>
          </w:p>
          <w:p>
            <w:pPr>
              <w:jc w:val="center"/>
              <w:rPr>
                <w:rFonts w:hint="eastAsia"/>
                <w:bCs/>
                <w:sz w:val="24"/>
                <w:highlight w:val="none"/>
                <w:lang w:val="en-US" w:eastAsia="zh-Hans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机制等</w:t>
            </w:r>
            <w:r>
              <w:rPr>
                <w:rFonts w:hint="default"/>
                <w:bCs/>
                <w:sz w:val="24"/>
                <w:highlight w:val="none"/>
                <w:lang w:eastAsia="zh-Hans"/>
              </w:rPr>
              <w:t>）</w:t>
            </w:r>
          </w:p>
        </w:tc>
        <w:tc>
          <w:tcPr>
            <w:tcW w:w="924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CN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7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highlight w:val="none"/>
                <w:lang w:val="en-US" w:eastAsia="zh-Hans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工作成效</w:t>
            </w:r>
          </w:p>
        </w:tc>
        <w:tc>
          <w:tcPr>
            <w:tcW w:w="924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CN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7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未来设想</w:t>
            </w:r>
          </w:p>
        </w:tc>
        <w:tc>
          <w:tcPr>
            <w:tcW w:w="924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CN"/>
              </w:rPr>
              <w:t>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5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相关支撑材料</w:t>
            </w:r>
          </w:p>
          <w:p>
            <w:pPr>
              <w:jc w:val="center"/>
              <w:rPr>
                <w:rFonts w:hint="eastAsia"/>
                <w:bCs/>
                <w:sz w:val="24"/>
                <w:highlight w:val="none"/>
                <w:lang w:val="en-US" w:eastAsia="zh-Hans"/>
              </w:rPr>
            </w:pPr>
          </w:p>
        </w:tc>
        <w:tc>
          <w:tcPr>
            <w:tcW w:w="924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研究生会自主评价</w:t>
            </w:r>
          </w:p>
        </w:tc>
        <w:tc>
          <w:tcPr>
            <w:tcW w:w="9240" w:type="dxa"/>
            <w:gridSpan w:val="9"/>
            <w:vAlign w:val="center"/>
          </w:tcPr>
          <w:p>
            <w:pPr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 xml:space="preserve">年   月 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 xml:space="preserve"> 日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院系推荐意见</w:t>
            </w:r>
          </w:p>
        </w:tc>
        <w:tc>
          <w:tcPr>
            <w:tcW w:w="924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 xml:space="preserve">       年   月 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 xml:space="preserve"> 日   负责人签字（盖章）：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备注</w:t>
            </w:r>
          </w:p>
        </w:tc>
        <w:tc>
          <w:tcPr>
            <w:tcW w:w="9240" w:type="dxa"/>
            <w:gridSpan w:val="9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4"/>
                <w:szCs w:val="24"/>
                <w:highlight w:val="none"/>
                <w:lang w:val="en-US" w:eastAsia="zh-Hans"/>
              </w:rPr>
            </w:pPr>
          </w:p>
        </w:tc>
      </w:tr>
    </w:tbl>
    <w:p>
      <w:pPr>
        <w:wordWrap w:val="0"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  <w:r>
        <w:rPr>
          <w:rFonts w:ascii="华文中宋" w:hAnsi="华文中宋" w:eastAsia="华文中宋"/>
          <w:b/>
          <w:szCs w:val="21"/>
        </w:rPr>
        <w:t xml:space="preserve">北京师范大学研究生会 </w:t>
      </w:r>
      <w:r>
        <w:rPr>
          <w:rFonts w:hint="eastAsia" w:ascii="华文中宋" w:hAnsi="华文中宋" w:eastAsia="华文中宋"/>
          <w:b/>
          <w:szCs w:val="21"/>
        </w:rPr>
        <w:t>制</w:t>
      </w: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wordWrap/>
        <w:spacing w:line="360" w:lineRule="exact"/>
        <w:jc w:val="right"/>
        <w:rPr>
          <w:rFonts w:hint="eastAsia" w:ascii="华文中宋" w:hAnsi="华文中宋" w:eastAsia="华文中宋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bookmarkEnd w:id="0"/>
    <w:p>
      <w:pPr>
        <w:spacing w:line="600" w:lineRule="auto"/>
        <w:rPr>
          <w:rFonts w:ascii="楷体" w:hAnsi="楷体" w:eastAsia="楷体"/>
          <w:b/>
          <w:sz w:val="48"/>
        </w:rPr>
      </w:pPr>
    </w:p>
    <w:p>
      <w:pPr>
        <w:pBdr>
          <w:bottom w:val="single" w:color="auto" w:sz="12" w:space="0"/>
        </w:pBdr>
        <w:spacing w:before="240" w:after="240" w:line="70" w:lineRule="atLeas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北京师范大学20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21</w:t>
      </w:r>
      <w:r>
        <w:rPr>
          <w:rFonts w:ascii="楷体" w:hAnsi="楷体" w:eastAsia="楷体"/>
          <w:b/>
          <w:sz w:val="52"/>
          <w:szCs w:val="52"/>
        </w:rPr>
        <w:t>-20</w:t>
      </w:r>
      <w:r>
        <w:rPr>
          <w:rFonts w:hint="eastAsia" w:ascii="楷体" w:hAnsi="楷体" w:eastAsia="楷体"/>
          <w:b/>
          <w:sz w:val="52"/>
          <w:szCs w:val="52"/>
          <w:lang w:eastAsia="zh-CN"/>
        </w:rPr>
        <w:t>2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2</w:t>
      </w:r>
      <w:r>
        <w:rPr>
          <w:rFonts w:hint="eastAsia" w:ascii="楷体" w:hAnsi="楷体" w:eastAsia="楷体"/>
          <w:b/>
          <w:sz w:val="52"/>
          <w:szCs w:val="52"/>
        </w:rPr>
        <w:t>学年</w:t>
      </w:r>
    </w:p>
    <w:p>
      <w:pPr>
        <w:pBdr>
          <w:bottom w:val="single" w:color="auto" w:sz="12" w:space="0"/>
        </w:pBdr>
        <w:spacing w:before="240" w:after="240" w:line="7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</w:rPr>
        <w:t>X</w:t>
      </w:r>
      <w:r>
        <w:rPr>
          <w:rFonts w:ascii="楷体" w:hAnsi="楷体" w:eastAsia="楷体"/>
          <w:b/>
          <w:sz w:val="52"/>
          <w:szCs w:val="52"/>
        </w:rPr>
        <w:t>X</w:t>
      </w:r>
      <w:r>
        <w:rPr>
          <w:rFonts w:hint="eastAsia" w:ascii="楷体" w:hAnsi="楷体" w:eastAsia="楷体"/>
          <w:b/>
          <w:sz w:val="52"/>
          <w:szCs w:val="52"/>
        </w:rPr>
        <w:t>学部/学院/系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/研究院</w:t>
      </w:r>
    </w:p>
    <w:p>
      <w:pPr>
        <w:spacing w:before="240" w:after="240" w:line="70" w:lineRule="atLeas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 xml:space="preserve"> “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特色工作奖</w:t>
      </w:r>
      <w:r>
        <w:rPr>
          <w:rFonts w:hint="eastAsia" w:ascii="楷体" w:hAnsi="楷体" w:eastAsia="楷体"/>
          <w:b/>
          <w:sz w:val="52"/>
          <w:szCs w:val="52"/>
        </w:rPr>
        <w:t>”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评选</w:t>
      </w:r>
      <w:r>
        <w:rPr>
          <w:rFonts w:hint="eastAsia" w:ascii="楷体" w:hAnsi="楷体" w:eastAsia="楷体"/>
          <w:b/>
          <w:sz w:val="52"/>
          <w:szCs w:val="52"/>
        </w:rPr>
        <w:t>支撑材料首页</w:t>
      </w:r>
    </w:p>
    <w:p>
      <w:pPr>
        <w:spacing w:before="240" w:after="240" w:line="70" w:lineRule="atLeast"/>
        <w:jc w:val="center"/>
        <w:rPr>
          <w:rFonts w:ascii="楷体" w:hAnsi="楷体" w:eastAsia="楷体"/>
          <w:b/>
          <w:sz w:val="48"/>
        </w:rPr>
      </w:pPr>
    </w:p>
    <w:p>
      <w:pPr>
        <w:spacing w:before="240" w:after="240" w:line="70" w:lineRule="atLeast"/>
        <w:jc w:val="center"/>
        <w:rPr>
          <w:rFonts w:ascii="楷体" w:hAnsi="楷体" w:eastAsia="楷体"/>
          <w:b/>
          <w:sz w:val="48"/>
        </w:rPr>
      </w:pPr>
    </w:p>
    <w:p>
      <w:pPr>
        <w:spacing w:before="240" w:after="240" w:line="70" w:lineRule="atLeast"/>
        <w:jc w:val="center"/>
        <w:rPr>
          <w:rFonts w:ascii="楷体" w:hAnsi="楷体" w:eastAsia="楷体"/>
          <w:b/>
          <w:sz w:val="48"/>
        </w:rPr>
      </w:pPr>
    </w:p>
    <w:p>
      <w:pPr>
        <w:spacing w:before="240" w:after="240" w:line="70" w:lineRule="atLeast"/>
        <w:jc w:val="center"/>
        <w:rPr>
          <w:rFonts w:ascii="楷体" w:hAnsi="楷体" w:eastAsia="楷体"/>
          <w:b/>
          <w:sz w:val="48"/>
        </w:rPr>
      </w:pPr>
    </w:p>
    <w:p>
      <w:pPr>
        <w:spacing w:before="240" w:after="240" w:line="70" w:lineRule="atLeast"/>
        <w:jc w:val="center"/>
        <w:rPr>
          <w:rFonts w:ascii="楷体" w:hAnsi="楷体" w:eastAsia="楷体"/>
          <w:b/>
          <w:sz w:val="48"/>
        </w:rPr>
      </w:pPr>
    </w:p>
    <w:p>
      <w:pPr>
        <w:spacing w:before="240" w:after="240" w:line="70" w:lineRule="atLeast"/>
        <w:jc w:val="center"/>
        <w:rPr>
          <w:rFonts w:ascii="楷体" w:hAnsi="楷体" w:eastAsia="楷体"/>
          <w:b/>
          <w:sz w:val="48"/>
        </w:rPr>
      </w:pPr>
      <w:r>
        <w:rPr>
          <w:rFonts w:hint="eastAsia" w:ascii="楷体" w:hAnsi="楷体" w:eastAsia="楷体"/>
          <w:b/>
          <w:sz w:val="48"/>
        </w:rPr>
        <w:t>院（系）</w:t>
      </w:r>
      <w:r>
        <w:rPr>
          <w:rFonts w:hint="eastAsia" w:ascii="楷体" w:hAnsi="楷体" w:eastAsia="楷体"/>
          <w:b/>
          <w:sz w:val="48"/>
          <w:lang w:val="en-US" w:eastAsia="zh-CN"/>
        </w:rPr>
        <w:t>团组织</w:t>
      </w:r>
      <w:r>
        <w:rPr>
          <w:rFonts w:hint="eastAsia" w:ascii="楷体" w:hAnsi="楷体" w:eastAsia="楷体"/>
          <w:b/>
          <w:sz w:val="48"/>
        </w:rPr>
        <w:t>盖章</w:t>
      </w:r>
    </w:p>
    <w:p>
      <w:pPr>
        <w:spacing w:before="240" w:after="240" w:line="70" w:lineRule="atLeast"/>
        <w:jc w:val="center"/>
        <w:rPr>
          <w:rFonts w:ascii="楷体" w:hAnsi="楷体" w:eastAsia="楷体"/>
          <w:b/>
          <w:sz w:val="48"/>
        </w:rPr>
      </w:pPr>
      <w:r>
        <w:rPr>
          <w:rFonts w:hint="eastAsia" w:ascii="楷体" w:hAnsi="楷体" w:eastAsia="楷体"/>
          <w:b/>
          <w:sz w:val="48"/>
        </w:rPr>
        <w:t>年   月   日</w:t>
      </w:r>
    </w:p>
    <w:p>
      <w:pPr>
        <w:keepNext w:val="0"/>
        <w:keepLines w:val="0"/>
        <w:pageBreakBefore w:val="0"/>
        <w:widowControl w:val="0"/>
        <w:tabs>
          <w:tab w:val="left" w:pos="8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left"/>
        <w:textAlignment w:val="auto"/>
        <w:rPr>
          <w:rFonts w:hint="eastAsia" w:ascii="宋体" w:hAnsi="宋体" w:eastAsia="宋体" w:cs="宋体"/>
          <w:b/>
          <w:sz w:val="28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left"/>
        <w:textAlignment w:val="auto"/>
        <w:rPr>
          <w:rFonts w:hint="eastAsia" w:ascii="宋体" w:hAnsi="宋体" w:eastAsia="宋体" w:cs="宋体"/>
          <w:b/>
          <w:sz w:val="28"/>
          <w:szCs w:val="20"/>
          <w:lang w:val="en-US" w:eastAsia="zh-CN"/>
        </w:rPr>
      </w:pPr>
    </w:p>
    <w:p>
      <w:pPr>
        <w:wordWrap/>
        <w:spacing w:line="360" w:lineRule="exact"/>
        <w:jc w:val="both"/>
        <w:rPr>
          <w:rFonts w:hint="eastAsia" w:ascii="华文中宋" w:hAnsi="华文中宋" w:eastAsia="华文中宋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3324A7-1CCD-4B5B-B310-7F6537EA6C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B2FEDED-48E2-4D22-80EA-621248735A82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  <w:embedRegular r:id="rId3" w:fontKey="{902070F1-CC5B-4CCA-BA20-1FD1F08CED7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A35CBE1-BD8C-4DDB-8D9D-47C1E0CF1BA1}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5" w:fontKey="{FD3AF9F1-352E-4149-957E-D6DEB49716F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0E62F86-0C80-421B-BC99-D94E173A03A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9EB2E2F7-AC1A-4F51-AE23-F0301F206B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DEyNDA2MTA5ZTg0YzExMGY1OWY3YmJiY2JmYjQifQ=="/>
  </w:docVars>
  <w:rsids>
    <w:rsidRoot w:val="9FFB5AA7"/>
    <w:rsid w:val="07847716"/>
    <w:rsid w:val="0DE46533"/>
    <w:rsid w:val="0DF73848"/>
    <w:rsid w:val="0EEFDCC5"/>
    <w:rsid w:val="10D55B4F"/>
    <w:rsid w:val="142942FB"/>
    <w:rsid w:val="17053684"/>
    <w:rsid w:val="19E12FDC"/>
    <w:rsid w:val="1BA74C8E"/>
    <w:rsid w:val="1D020BFF"/>
    <w:rsid w:val="1F6A1CE5"/>
    <w:rsid w:val="23576068"/>
    <w:rsid w:val="248400A6"/>
    <w:rsid w:val="27BF562B"/>
    <w:rsid w:val="292E47E9"/>
    <w:rsid w:val="2B165956"/>
    <w:rsid w:val="2B3C547B"/>
    <w:rsid w:val="2EF3CA11"/>
    <w:rsid w:val="31AE4CA5"/>
    <w:rsid w:val="39FFC67D"/>
    <w:rsid w:val="3BFFD0E3"/>
    <w:rsid w:val="3D7FB95B"/>
    <w:rsid w:val="3FE5F514"/>
    <w:rsid w:val="414B0776"/>
    <w:rsid w:val="46ED42F6"/>
    <w:rsid w:val="50C36078"/>
    <w:rsid w:val="53793254"/>
    <w:rsid w:val="576A1CBD"/>
    <w:rsid w:val="57AA1E65"/>
    <w:rsid w:val="5A945B3F"/>
    <w:rsid w:val="5D7F145D"/>
    <w:rsid w:val="5FAF6D37"/>
    <w:rsid w:val="5FBF8418"/>
    <w:rsid w:val="5FBFA459"/>
    <w:rsid w:val="5FCF814A"/>
    <w:rsid w:val="67BF2ACA"/>
    <w:rsid w:val="69030E7C"/>
    <w:rsid w:val="6C534104"/>
    <w:rsid w:val="74372186"/>
    <w:rsid w:val="75EF0F5F"/>
    <w:rsid w:val="799B87DE"/>
    <w:rsid w:val="7CCBD0EC"/>
    <w:rsid w:val="7D735EA0"/>
    <w:rsid w:val="7DCEDD2C"/>
    <w:rsid w:val="7DD9A1FE"/>
    <w:rsid w:val="7DEDAF26"/>
    <w:rsid w:val="7E7E4992"/>
    <w:rsid w:val="7E857F9A"/>
    <w:rsid w:val="7EBB3398"/>
    <w:rsid w:val="7F5BE5AF"/>
    <w:rsid w:val="7FCEEF4C"/>
    <w:rsid w:val="93FE57F1"/>
    <w:rsid w:val="9FFB5AA7"/>
    <w:rsid w:val="9FFF2DDB"/>
    <w:rsid w:val="A53FBC98"/>
    <w:rsid w:val="ABFFA532"/>
    <w:rsid w:val="AFB71FB1"/>
    <w:rsid w:val="B6EE87B5"/>
    <w:rsid w:val="BD358979"/>
    <w:rsid w:val="BFFE2152"/>
    <w:rsid w:val="CDFD4C2E"/>
    <w:rsid w:val="D4FF15D9"/>
    <w:rsid w:val="D77BC9C9"/>
    <w:rsid w:val="DDF3B4EA"/>
    <w:rsid w:val="DDFF99EA"/>
    <w:rsid w:val="E7FB2557"/>
    <w:rsid w:val="EBF5841C"/>
    <w:rsid w:val="EFE31C9D"/>
    <w:rsid w:val="F30FC41A"/>
    <w:rsid w:val="F3BAA890"/>
    <w:rsid w:val="F7B7E87E"/>
    <w:rsid w:val="F93EA236"/>
    <w:rsid w:val="F95DFA8F"/>
    <w:rsid w:val="FBDFA18C"/>
    <w:rsid w:val="FEEAD6E2"/>
    <w:rsid w:val="FEED2A66"/>
    <w:rsid w:val="FFAF3F6C"/>
    <w:rsid w:val="FFDFE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网格型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2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3174</Words>
  <Characters>3344</Characters>
  <Lines>0</Lines>
  <Paragraphs>0</Paragraphs>
  <TotalTime>0</TotalTime>
  <ScaleCrop>false</ScaleCrop>
  <LinksUpToDate>false</LinksUpToDate>
  <CharactersWithSpaces>3382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2022-11-12T11:21:00Z</dcterms:created>
  <dc:creator>生活体验师</dc:creator>
  <cp:lastModifiedBy>清風水漾</cp:lastModifiedBy>
  <dcterms:modified xsi:type="dcterms:W3CDTF">2022-11-15T08:47:27Z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36F49CDE04CF42B883A0FF618C5074E9</vt:lpwstr>
  </property>
</Properties>
</file>