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Times New Roman" w:hAnsi="Times New Roman" w:eastAsia="黑体" w:cs="Times New Roman"/>
          <w:sz w:val="44"/>
          <w:szCs w:val="32"/>
          <w:highlight w:val="none"/>
          <w:lang w:val="en-US" w:eastAsia="zh-CN"/>
        </w:rPr>
      </w:pPr>
      <w:r>
        <w:rPr>
          <w:rFonts w:hint="eastAsia" w:ascii="Times New Roman" w:hAnsi="Times New Roman" w:eastAsia="黑体" w:cs="Times New Roman"/>
          <w:sz w:val="32"/>
          <w:szCs w:val="32"/>
          <w:highlight w:val="none"/>
          <w:lang w:val="en-US" w:eastAsia="zh-CN"/>
        </w:rPr>
        <w:t>附件</w:t>
      </w:r>
      <w:r>
        <w:rPr>
          <w:rFonts w:hint="eastAsia" w:eastAsia="黑体" w:cs="Times New Roman"/>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kern w:val="0"/>
          <w:sz w:val="44"/>
          <w:szCs w:val="32"/>
          <w:lang w:val="en-GB"/>
        </w:rPr>
      </w:pPr>
      <w:r>
        <w:rPr>
          <w:rFonts w:hint="eastAsia" w:eastAsia="方正小标宋简体" w:cs="Times New Roman"/>
          <w:sz w:val="44"/>
          <w:szCs w:val="32"/>
          <w:highlight w:val="none"/>
          <w:lang w:eastAsia="zh-CN"/>
        </w:rPr>
        <w:t>“青智未来”新质生产力专项赛</w:t>
      </w:r>
    </w:p>
    <w:p>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hint="eastAsia" w:ascii="Times New Roman" w:hAnsi="Times New Roman" w:eastAsia="方正小标宋简体" w:cs="Times New Roman"/>
          <w:sz w:val="21"/>
          <w:szCs w:val="21"/>
          <w:highlight w:val="none"/>
          <w:lang w:val="en-US" w:eastAsia="zh-CN"/>
        </w:rPr>
      </w:pPr>
      <w:r>
        <w:rPr>
          <w:rFonts w:hint="eastAsia" w:ascii="Times New Roman" w:hAnsi="Times New Roman" w:eastAsia="方正小标宋简体" w:cs="Times New Roman"/>
          <w:sz w:val="44"/>
          <w:szCs w:val="32"/>
          <w:highlight w:val="none"/>
          <w:lang w:val="en-US" w:eastAsia="zh-CN"/>
        </w:rPr>
        <w:t>项目申报表</w:t>
      </w:r>
    </w:p>
    <w:tbl>
      <w:tblPr>
        <w:tblStyle w:val="9"/>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3"/>
        <w:gridCol w:w="1018"/>
        <w:gridCol w:w="1300"/>
        <w:gridCol w:w="1417"/>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jc w:val="center"/>
        </w:trPr>
        <w:tc>
          <w:tcPr>
            <w:tcW w:w="25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lang w:val="en-US" w:eastAsia="zh-CN"/>
              </w:rPr>
              <w:t>选题序号</w:t>
            </w:r>
            <w:r>
              <w:rPr>
                <w:rFonts w:hint="eastAsia" w:eastAsia="仿宋" w:cs="仿宋"/>
                <w:kern w:val="0"/>
                <w:sz w:val="24"/>
                <w:szCs w:val="24"/>
                <w:lang w:val="en-US" w:eastAsia="zh-CN"/>
              </w:rPr>
              <w:t>及名称</w:t>
            </w:r>
          </w:p>
        </w:tc>
        <w:tc>
          <w:tcPr>
            <w:tcW w:w="6570" w:type="dxa"/>
            <w:gridSpan w:val="5"/>
            <w:vAlign w:val="center"/>
          </w:tcPr>
          <w:p>
            <w:pPr>
              <w:keepNext w:val="0"/>
              <w:keepLines w:val="0"/>
              <w:pageBreakBefore w:val="0"/>
              <w:widowControl w:val="0"/>
              <w:kinsoku/>
              <w:wordWrap/>
              <w:overflowPunct/>
              <w:topLinePunct w:val="0"/>
              <w:autoSpaceDE/>
              <w:autoSpaceDN/>
              <w:bidi w:val="0"/>
              <w:adjustRightInd/>
              <w:snapToGrid/>
              <w:spacing w:before="0" w:beforeLines="50"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1</w:t>
            </w:r>
            <w:r>
              <w:rPr>
                <w:rFonts w:hint="eastAsia" w:eastAsia="仿宋" w:cs="仿宋"/>
                <w:kern w:val="0"/>
                <w:sz w:val="24"/>
                <w:szCs w:val="24"/>
                <w:lang w:eastAsia="zh-CN"/>
              </w:rPr>
              <w:t>.</w:t>
            </w:r>
            <w:r>
              <w:rPr>
                <w:rFonts w:hint="eastAsia" w:ascii="Times New Roman" w:hAnsi="Times New Roman" w:eastAsia="仿宋" w:cs="仿宋"/>
                <w:kern w:val="0"/>
                <w:sz w:val="24"/>
                <w:szCs w:val="24"/>
              </w:rPr>
              <w:t>三维世界通用具身智能体的应用探索</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2</w:t>
            </w:r>
            <w:r>
              <w:rPr>
                <w:rFonts w:hint="eastAsia" w:eastAsia="仿宋" w:cs="仿宋"/>
                <w:kern w:val="0"/>
                <w:sz w:val="24"/>
                <w:szCs w:val="24"/>
                <w:lang w:eastAsia="zh-CN"/>
              </w:rPr>
              <w:t>.</w:t>
            </w:r>
            <w:r>
              <w:rPr>
                <w:rFonts w:hint="eastAsia" w:ascii="Times New Roman" w:hAnsi="Times New Roman" w:eastAsia="仿宋" w:cs="仿宋"/>
                <w:kern w:val="0"/>
                <w:sz w:val="24"/>
                <w:szCs w:val="24"/>
              </w:rPr>
              <w:t>集成光频梳激光雷达技术探索</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3</w:t>
            </w:r>
            <w:r>
              <w:rPr>
                <w:rFonts w:hint="eastAsia" w:eastAsia="仿宋" w:cs="仿宋"/>
                <w:kern w:val="0"/>
                <w:sz w:val="24"/>
                <w:szCs w:val="24"/>
                <w:lang w:eastAsia="zh-CN"/>
              </w:rPr>
              <w:t>.</w:t>
            </w:r>
            <w:r>
              <w:rPr>
                <w:rFonts w:hint="eastAsia" w:ascii="Times New Roman" w:hAnsi="Times New Roman" w:eastAsia="仿宋" w:cs="仿宋"/>
                <w:kern w:val="0"/>
                <w:sz w:val="24"/>
                <w:szCs w:val="24"/>
              </w:rPr>
              <w:t>基于生成式AI的金融量化投资与风险管理解决方案</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4</w:t>
            </w:r>
            <w:r>
              <w:rPr>
                <w:rFonts w:hint="eastAsia" w:eastAsia="仿宋" w:cs="仿宋"/>
                <w:kern w:val="0"/>
                <w:sz w:val="24"/>
                <w:szCs w:val="24"/>
                <w:lang w:eastAsia="zh-CN"/>
              </w:rPr>
              <w:t>.</w:t>
            </w:r>
            <w:r>
              <w:rPr>
                <w:rFonts w:hint="eastAsia" w:ascii="Times New Roman" w:hAnsi="Times New Roman" w:eastAsia="仿宋" w:cs="仿宋"/>
                <w:kern w:val="0"/>
                <w:sz w:val="24"/>
                <w:szCs w:val="24"/>
              </w:rPr>
              <w:t>AI大模型车载数字人助理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5</w:t>
            </w:r>
            <w:r>
              <w:rPr>
                <w:rFonts w:hint="eastAsia" w:eastAsia="仿宋" w:cs="仿宋"/>
                <w:kern w:val="0"/>
                <w:sz w:val="24"/>
                <w:szCs w:val="24"/>
                <w:lang w:eastAsia="zh-CN"/>
              </w:rPr>
              <w:t>.</w:t>
            </w:r>
            <w:r>
              <w:rPr>
                <w:rFonts w:hint="eastAsia" w:ascii="Times New Roman" w:hAnsi="Times New Roman" w:eastAsia="仿宋" w:cs="仿宋"/>
                <w:kern w:val="0"/>
                <w:sz w:val="24"/>
                <w:szCs w:val="24"/>
              </w:rPr>
              <w:t>完全重复使用航班化航天运输系统概念设计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6</w:t>
            </w:r>
            <w:r>
              <w:rPr>
                <w:rFonts w:hint="eastAsia" w:eastAsia="仿宋" w:cs="仿宋"/>
                <w:kern w:val="0"/>
                <w:sz w:val="24"/>
                <w:szCs w:val="24"/>
                <w:lang w:eastAsia="zh-CN"/>
              </w:rPr>
              <w:t>.</w:t>
            </w:r>
            <w:r>
              <w:rPr>
                <w:rFonts w:hint="eastAsia" w:ascii="Times New Roman" w:hAnsi="Times New Roman" w:eastAsia="仿宋" w:cs="仿宋"/>
                <w:kern w:val="0"/>
                <w:sz w:val="24"/>
                <w:szCs w:val="24"/>
              </w:rPr>
              <w:t>鸿蒙原生应用静态代码分析框架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7</w:t>
            </w:r>
            <w:r>
              <w:rPr>
                <w:rFonts w:hint="eastAsia" w:eastAsia="仿宋" w:cs="仿宋"/>
                <w:kern w:val="0"/>
                <w:sz w:val="24"/>
                <w:szCs w:val="24"/>
                <w:lang w:eastAsia="zh-CN"/>
              </w:rPr>
              <w:t>.</w:t>
            </w:r>
            <w:r>
              <w:rPr>
                <w:rFonts w:hint="eastAsia" w:ascii="Times New Roman" w:hAnsi="Times New Roman" w:eastAsia="仿宋" w:cs="仿宋"/>
                <w:kern w:val="0"/>
                <w:sz w:val="24"/>
                <w:szCs w:val="24"/>
              </w:rPr>
              <w:t>基于AI大模型的PET图像智能诊断一体化解决方案</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8</w:t>
            </w:r>
            <w:r>
              <w:rPr>
                <w:rFonts w:hint="eastAsia" w:eastAsia="仿宋" w:cs="仿宋"/>
                <w:kern w:val="0"/>
                <w:sz w:val="24"/>
                <w:szCs w:val="24"/>
                <w:lang w:eastAsia="zh-CN"/>
              </w:rPr>
              <w:t>.</w:t>
            </w:r>
            <w:r>
              <w:rPr>
                <w:rFonts w:hint="eastAsia" w:ascii="Times New Roman" w:hAnsi="Times New Roman" w:eastAsia="仿宋" w:cs="仿宋"/>
                <w:kern w:val="0"/>
                <w:sz w:val="24"/>
                <w:szCs w:val="24"/>
              </w:rPr>
              <w:t>右心室流出道流场构型对复杂先心病治疗植入器械的影响评估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9</w:t>
            </w:r>
            <w:r>
              <w:rPr>
                <w:rFonts w:hint="eastAsia" w:eastAsia="仿宋" w:cs="仿宋"/>
                <w:kern w:val="0"/>
                <w:sz w:val="24"/>
                <w:szCs w:val="24"/>
                <w:lang w:eastAsia="zh-CN"/>
              </w:rPr>
              <w:t>.</w:t>
            </w:r>
            <w:r>
              <w:rPr>
                <w:rFonts w:hint="eastAsia" w:ascii="Times New Roman" w:hAnsi="Times New Roman" w:eastAsia="仿宋" w:cs="仿宋"/>
                <w:kern w:val="0"/>
                <w:sz w:val="24"/>
                <w:szCs w:val="24"/>
              </w:rPr>
              <w:t>基于区块链技术的绿色能源金属来源的可追溯与认证机制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10</w:t>
            </w:r>
            <w:r>
              <w:rPr>
                <w:rFonts w:hint="eastAsia" w:eastAsia="仿宋" w:cs="仿宋"/>
                <w:kern w:val="0"/>
                <w:sz w:val="24"/>
                <w:szCs w:val="24"/>
                <w:lang w:eastAsia="zh-CN"/>
              </w:rPr>
              <w:t>.</w:t>
            </w:r>
            <w:r>
              <w:rPr>
                <w:rFonts w:hint="eastAsia" w:ascii="Times New Roman" w:hAnsi="Times New Roman" w:eastAsia="仿宋" w:cs="仿宋"/>
                <w:kern w:val="0"/>
                <w:sz w:val="24"/>
                <w:szCs w:val="24"/>
              </w:rPr>
              <w:t>基于大语言模型（LLM）与生成式人工智能的企业绿色专利技术支持系统</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11</w:t>
            </w:r>
            <w:r>
              <w:rPr>
                <w:rFonts w:hint="eastAsia" w:eastAsia="仿宋" w:cs="仿宋"/>
                <w:kern w:val="0"/>
                <w:sz w:val="24"/>
                <w:szCs w:val="24"/>
                <w:lang w:eastAsia="zh-CN"/>
              </w:rPr>
              <w:t>.</w:t>
            </w:r>
            <w:r>
              <w:rPr>
                <w:rFonts w:hint="eastAsia" w:ascii="Times New Roman" w:hAnsi="Times New Roman" w:eastAsia="仿宋" w:cs="仿宋"/>
                <w:kern w:val="0"/>
                <w:sz w:val="24"/>
                <w:szCs w:val="24"/>
              </w:rPr>
              <w:t>智能网联汽车安全监测与防护系统</w:t>
            </w:r>
          </w:p>
          <w:p>
            <w:pPr>
              <w:keepNext w:val="0"/>
              <w:keepLines w:val="0"/>
              <w:pageBreakBefore w:val="0"/>
              <w:widowControl w:val="0"/>
              <w:kinsoku/>
              <w:wordWrap/>
              <w:overflowPunct/>
              <w:topLinePunct w:val="0"/>
              <w:autoSpaceDE/>
              <w:autoSpaceDN/>
              <w:bidi w:val="0"/>
              <w:adjustRightInd/>
              <w:snapToGrid/>
              <w:spacing w:after="0" w:afterLines="50" w:line="320" w:lineRule="exact"/>
              <w:textAlignment w:val="auto"/>
              <w:rPr>
                <w:rFonts w:hint="eastAsia" w:ascii="Times New Roman" w:hAnsi="Times New Roman" w:eastAsia="仿宋" w:cs="仿宋"/>
                <w:kern w:val="0"/>
                <w:sz w:val="24"/>
                <w:szCs w:val="24"/>
              </w:rPr>
            </w:pPr>
            <w:r>
              <w:rPr>
                <w:rFonts w:hint="eastAsia" w:ascii="Times New Roman" w:hAnsi="Times New Roman" w:eastAsia="仿宋" w:cs="仿宋"/>
                <w:sz w:val="24"/>
              </w:rPr>
              <w:t>□</w:t>
            </w:r>
            <w:r>
              <w:rPr>
                <w:rFonts w:hint="eastAsia" w:eastAsia="仿宋" w:cs="仿宋"/>
                <w:sz w:val="24"/>
                <w:lang w:val="en-US" w:eastAsia="zh-CN"/>
              </w:rPr>
              <w:t xml:space="preserve"> </w:t>
            </w:r>
            <w:r>
              <w:rPr>
                <w:rFonts w:hint="eastAsia" w:ascii="Times New Roman" w:hAnsi="Times New Roman" w:eastAsia="仿宋" w:cs="仿宋"/>
                <w:kern w:val="0"/>
                <w:sz w:val="24"/>
                <w:szCs w:val="24"/>
              </w:rPr>
              <w:t>12</w:t>
            </w:r>
            <w:r>
              <w:rPr>
                <w:rFonts w:hint="eastAsia" w:eastAsia="仿宋" w:cs="仿宋"/>
                <w:kern w:val="0"/>
                <w:sz w:val="24"/>
                <w:szCs w:val="24"/>
                <w:lang w:eastAsia="zh-CN"/>
              </w:rPr>
              <w:t>.</w:t>
            </w:r>
            <w:r>
              <w:rPr>
                <w:rFonts w:hint="eastAsia" w:ascii="Times New Roman" w:hAnsi="Times New Roman" w:eastAsia="仿宋" w:cs="仿宋"/>
                <w:kern w:val="0"/>
                <w:sz w:val="24"/>
                <w:szCs w:val="24"/>
              </w:rPr>
              <w:t>基于高通量测序和特征基因表达谱的重症传染病中药筛选与分析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团队成员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（最多1</w:t>
            </w:r>
            <w:r>
              <w:rPr>
                <w:rFonts w:hint="eastAsia" w:ascii="Times New Roman" w:hAnsi="Times New Roman" w:eastAsia="仿宋" w:cs="仿宋"/>
                <w:kern w:val="0"/>
                <w:sz w:val="24"/>
                <w:szCs w:val="24"/>
                <w:lang w:val="en-US" w:eastAsia="zh-CN"/>
              </w:rPr>
              <w:t>0</w:t>
            </w:r>
            <w:r>
              <w:rPr>
                <w:rFonts w:hint="eastAsia" w:ascii="Times New Roman" w:hAnsi="Times New Roman" w:eastAsia="仿宋" w:cs="仿宋"/>
                <w:kern w:val="0"/>
                <w:sz w:val="24"/>
                <w:szCs w:val="24"/>
              </w:rPr>
              <w:t>人）</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姓名</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学院</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年级、专业</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手机</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备注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2"/>
                <w:szCs w:val="2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lang w:val="en-US" w:eastAsia="zh-CN"/>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仿宋"/>
                <w:kern w:val="0"/>
                <w:sz w:val="24"/>
                <w:szCs w:val="24"/>
                <w:lang w:val="en-US" w:eastAsia="zh-CN"/>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仿宋"/>
                <w:kern w:val="0"/>
                <w:sz w:val="24"/>
                <w:szCs w:val="24"/>
                <w:lang w:val="en-US" w:eastAsia="zh-CN"/>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仿宋"/>
                <w:kern w:val="0"/>
                <w:sz w:val="24"/>
                <w:szCs w:val="24"/>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指导教师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lang w:eastAsia="zh-CN"/>
              </w:rPr>
            </w:pPr>
            <w:r>
              <w:rPr>
                <w:rFonts w:hint="eastAsia" w:ascii="Times New Roman" w:hAnsi="Times New Roman" w:eastAsia="仿宋" w:cs="仿宋"/>
                <w:kern w:val="0"/>
                <w:sz w:val="24"/>
                <w:szCs w:val="24"/>
                <w:lang w:eastAsia="zh-CN"/>
              </w:rPr>
              <w:t>（</w:t>
            </w:r>
            <w:r>
              <w:rPr>
                <w:rFonts w:hint="eastAsia" w:ascii="Times New Roman" w:hAnsi="Times New Roman" w:eastAsia="仿宋" w:cs="仿宋"/>
                <w:kern w:val="0"/>
                <w:sz w:val="24"/>
                <w:szCs w:val="24"/>
                <w:lang w:val="en-US" w:eastAsia="zh-CN"/>
              </w:rPr>
              <w:t>最多3人</w:t>
            </w:r>
            <w:r>
              <w:rPr>
                <w:rFonts w:hint="eastAsia" w:ascii="Times New Roman" w:hAnsi="Times New Roman" w:eastAsia="仿宋" w:cs="仿宋"/>
                <w:kern w:val="0"/>
                <w:sz w:val="24"/>
                <w:szCs w:val="24"/>
                <w:lang w:eastAsia="zh-CN"/>
              </w:rPr>
              <w:t>）</w:t>
            </w: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姓名</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学院</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职称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职务</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tc>
        <w:tc>
          <w:tcPr>
            <w:tcW w:w="1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5" w:hRule="atLeast"/>
          <w:jc w:val="center"/>
        </w:trPr>
        <w:tc>
          <w:tcPr>
            <w:tcW w:w="25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项目简介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（500字以内）</w:t>
            </w:r>
          </w:p>
        </w:tc>
        <w:tc>
          <w:tcPr>
            <w:tcW w:w="657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jc w:val="center"/>
        </w:trPr>
        <w:tc>
          <w:tcPr>
            <w:tcW w:w="25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项目策划书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b/>
                <w:kern w:val="0"/>
                <w:sz w:val="24"/>
                <w:szCs w:val="24"/>
              </w:rPr>
            </w:pPr>
            <w:r>
              <w:rPr>
                <w:rFonts w:hint="eastAsia" w:ascii="Times New Roman" w:hAnsi="Times New Roman" w:eastAsia="仿宋" w:cs="仿宋"/>
                <w:b/>
                <w:color w:val="FF0000"/>
                <w:kern w:val="0"/>
                <w:sz w:val="24"/>
                <w:szCs w:val="24"/>
              </w:rPr>
              <w:t>（重点材料）</w:t>
            </w:r>
          </w:p>
        </w:tc>
        <w:tc>
          <w:tcPr>
            <w:tcW w:w="657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PDF文档（充分展现项目特点，图文表格并茂为宜）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8" w:hRule="atLeast"/>
          <w:jc w:val="center"/>
        </w:trPr>
        <w:tc>
          <w:tcPr>
            <w:tcW w:w="25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项目介绍材料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b/>
                <w:kern w:val="0"/>
                <w:sz w:val="24"/>
                <w:szCs w:val="24"/>
              </w:rPr>
            </w:pPr>
            <w:r>
              <w:rPr>
                <w:rFonts w:hint="eastAsia" w:ascii="Times New Roman" w:hAnsi="Times New Roman" w:eastAsia="仿宋" w:cs="仿宋"/>
                <w:b/>
                <w:color w:val="FF0000"/>
                <w:kern w:val="0"/>
                <w:sz w:val="24"/>
                <w:szCs w:val="24"/>
              </w:rPr>
              <w:t>（</w:t>
            </w:r>
            <w:r>
              <w:rPr>
                <w:rFonts w:hint="eastAsia" w:ascii="Times New Roman" w:hAnsi="Times New Roman" w:eastAsia="仿宋" w:cs="仿宋"/>
                <w:b/>
                <w:color w:val="FF0000"/>
                <w:kern w:val="0"/>
                <w:sz w:val="24"/>
                <w:szCs w:val="24"/>
                <w:lang w:val="en-US" w:eastAsia="zh-CN"/>
              </w:rPr>
              <w:t>非必要</w:t>
            </w:r>
            <w:r>
              <w:rPr>
                <w:rFonts w:hint="eastAsia" w:ascii="Times New Roman" w:hAnsi="Times New Roman" w:eastAsia="仿宋" w:cs="仿宋"/>
                <w:b/>
                <w:color w:val="FF0000"/>
                <w:kern w:val="0"/>
                <w:sz w:val="24"/>
                <w:szCs w:val="24"/>
              </w:rPr>
              <w:t>）</w:t>
            </w:r>
          </w:p>
        </w:tc>
        <w:tc>
          <w:tcPr>
            <w:tcW w:w="657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仿宋"/>
                <w:kern w:val="0"/>
                <w:sz w:val="24"/>
                <w:szCs w:val="24"/>
              </w:rPr>
            </w:pPr>
            <w:r>
              <w:rPr>
                <w:rFonts w:hint="eastAsia" w:ascii="Times New Roman" w:hAnsi="Times New Roman" w:eastAsia="仿宋" w:cs="仿宋"/>
                <w:kern w:val="0"/>
                <w:sz w:val="24"/>
                <w:szCs w:val="24"/>
              </w:rPr>
              <w:t>20页以内PPT文档（转PDF格式）</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 w:cs="仿宋"/>
          <w:sz w:val="24"/>
          <w:szCs w:val="32"/>
          <w:lang w:val="en-US" w:eastAsia="zh-CN"/>
        </w:rPr>
      </w:pPr>
      <w:r>
        <w:rPr>
          <w:rFonts w:hint="eastAsia" w:ascii="黑体" w:hAnsi="黑体" w:eastAsia="黑体" w:cs="黑体"/>
          <w:sz w:val="24"/>
          <w:szCs w:val="32"/>
          <w:lang w:val="en-US" w:eastAsia="zh-CN"/>
        </w:rPr>
        <w:t>说明：</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Times New Roman" w:hAnsi="Times New Roman" w:eastAsia="仿宋" w:cs="仿宋"/>
          <w:sz w:val="24"/>
          <w:szCs w:val="32"/>
          <w:lang w:val="en-US" w:eastAsia="zh-CN"/>
        </w:rPr>
      </w:pPr>
      <w:r>
        <w:rPr>
          <w:rFonts w:hint="eastAsia" w:ascii="Times New Roman" w:hAnsi="Times New Roman" w:eastAsia="仿宋" w:cs="仿宋"/>
          <w:sz w:val="24"/>
          <w:szCs w:val="32"/>
          <w:lang w:val="en-US" w:eastAsia="zh-CN"/>
        </w:rPr>
        <w:t>所有作品需做好匿名处理工作，保证作品和附加材料中不能出现如作者姓名、指导教师姓名、学校名称及相关标志性景色、logo等信息。</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Times New Roman" w:hAnsi="Times New Roman" w:eastAsia="仿宋" w:cs="仿宋"/>
          <w:sz w:val="24"/>
          <w:szCs w:val="32"/>
        </w:rPr>
      </w:pPr>
      <w:r>
        <w:rPr>
          <w:rFonts w:hint="eastAsia" w:eastAsia="仿宋" w:cs="仿宋"/>
          <w:sz w:val="24"/>
          <w:szCs w:val="32"/>
          <w:lang w:val="en-US" w:eastAsia="zh-CN"/>
        </w:rPr>
        <w:t>每人限报1个项目。同一项目不得同时申报不同赛道。</w:t>
      </w:r>
      <w:r>
        <w:rPr>
          <w:rFonts w:hint="eastAsia" w:ascii="Times New Roman" w:hAnsi="Times New Roman" w:eastAsia="仿宋" w:cs="仿宋"/>
          <w:sz w:val="24"/>
          <w:szCs w:val="32"/>
          <w:lang w:val="en-US" w:eastAsia="zh-CN"/>
        </w:rPr>
        <w:t>参赛对象以个人或团队形式参赛均可，每个团队不超过10人，指导教师不超过3名，参加专项赛的作品不受限制，可以跨专业、跨校、跨地域组队，各成员须事先协商明确项目的申报单位（每件作品仅由1所高校推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仿宋" w:cs="仿宋"/>
          <w:sz w:val="24"/>
          <w:szCs w:val="32"/>
          <w:lang w:val="en-US" w:eastAsia="zh-CN"/>
        </w:rPr>
      </w:pPr>
      <w:r>
        <w:rPr>
          <w:rFonts w:hint="eastAsia" w:ascii="Times New Roman" w:hAnsi="Times New Roman" w:eastAsia="仿宋" w:cs="仿宋"/>
          <w:sz w:val="24"/>
          <w:szCs w:val="32"/>
          <w:lang w:val="en-US" w:eastAsia="zh-CN"/>
        </w:rPr>
        <w:t>已获往届“挑战杯”中国大学生创业计划竞赛、“创青春”全国大学生创业大赛、“挑战杯——彩虹人生”全国职业学院创新创效创业大赛全国金奖（特等奖）、银奖（一等奖）的项目，不可重复报名。</w:t>
      </w:r>
    </w:p>
    <w:p>
      <w:pPr>
        <w:numPr>
          <w:ilvl w:val="0"/>
          <w:numId w:val="0"/>
        </w:numPr>
        <w:ind w:leftChars="0"/>
        <w:rPr>
          <w:rFonts w:hint="eastAsia" w:ascii="Times New Roman" w:hAnsi="Times New Roman" w:eastAsia="方正小标宋简体" w:cs="Times New Roman"/>
          <w:sz w:val="44"/>
          <w:szCs w:val="32"/>
          <w:highlight w:val="none"/>
          <w:lang w:eastAsia="zh-CN"/>
        </w:rPr>
      </w:pPr>
      <w:r>
        <w:rPr>
          <w:rFonts w:hint="eastAsia" w:ascii="Times New Roman" w:hAnsi="Times New Roman" w:eastAsia="方正小标宋简体" w:cs="Times New Roman"/>
          <w:sz w:val="44"/>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kern w:val="0"/>
          <w:sz w:val="44"/>
          <w:szCs w:val="32"/>
          <w:lang w:val="en-GB"/>
        </w:rPr>
      </w:pPr>
      <w:r>
        <w:rPr>
          <w:rFonts w:hint="eastAsia" w:ascii="Times New Roman" w:hAnsi="Times New Roman" w:eastAsia="方正小标宋简体" w:cs="Times New Roman"/>
          <w:sz w:val="44"/>
          <w:szCs w:val="32"/>
          <w:highlight w:val="none"/>
          <w:lang w:eastAsia="zh-CN"/>
        </w:rPr>
        <w:t>“青智未来”新质生产力专项赛</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32"/>
          <w:highlight w:val="none"/>
          <w:lang w:val="en-US" w:eastAsia="zh-CN"/>
        </w:rPr>
      </w:pPr>
      <w:r>
        <w:rPr>
          <w:rFonts w:hint="default" w:ascii="Times New Roman" w:hAnsi="Times New Roman" w:eastAsia="方正小标宋简体" w:cs="Times New Roman"/>
          <w:sz w:val="44"/>
          <w:szCs w:val="32"/>
          <w:highlight w:val="none"/>
        </w:rPr>
        <w:t>参赛说明</w:t>
      </w:r>
      <w:r>
        <w:rPr>
          <w:rFonts w:hint="eastAsia" w:ascii="Times New Roman" w:hAnsi="Times New Roman" w:eastAsia="方正小标宋简体" w:cs="Times New Roman"/>
          <w:sz w:val="44"/>
          <w:szCs w:val="32"/>
          <w:highlight w:val="none"/>
          <w:lang w:val="en-US" w:eastAsia="zh-CN"/>
        </w:rPr>
        <w:t>及提交规范</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ind w:firstLine="573"/>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一、办赛理念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本届竞赛采取</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政企发榜、竞争揭榜、开榜签约</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的方式</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面向学生创业团队，由团队根据榜单要求与出题单位具体情况，</w:t>
      </w:r>
      <w:r>
        <w:rPr>
          <w:rFonts w:hint="default" w:ascii="Times New Roman" w:hAnsi="Times New Roman" w:eastAsia="仿宋_GB2312" w:cs="Times New Roman"/>
          <w:sz w:val="32"/>
          <w:szCs w:val="32"/>
          <w:highlight w:val="none"/>
        </w:rPr>
        <w:t>提出具有可行性的创业计划方案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从而</w:t>
      </w:r>
      <w:r>
        <w:rPr>
          <w:rFonts w:hint="default" w:ascii="Times New Roman" w:hAnsi="Times New Roman" w:eastAsia="仿宋_GB2312" w:cs="Times New Roman"/>
          <w:sz w:val="32"/>
          <w:szCs w:val="32"/>
          <w:highlight w:val="none"/>
        </w:rPr>
        <w:t>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出榜者</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与</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揭榜者</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搭建</w:t>
      </w:r>
      <w:r>
        <w:rPr>
          <w:rFonts w:hint="default" w:ascii="Times New Roman" w:hAnsi="Times New Roman" w:eastAsia="仿宋_GB2312" w:cs="Times New Roman"/>
          <w:sz w:val="32"/>
          <w:szCs w:val="32"/>
          <w:highlight w:val="none"/>
          <w:lang w:val="en-US" w:eastAsia="zh-CN"/>
        </w:rPr>
        <w:t>沟通交流、双向选择的</w:t>
      </w:r>
      <w:r>
        <w:rPr>
          <w:rFonts w:hint="default" w:ascii="Times New Roman" w:hAnsi="Times New Roman" w:eastAsia="仿宋_GB2312" w:cs="Times New Roman"/>
          <w:sz w:val="32"/>
          <w:szCs w:val="32"/>
          <w:highlight w:val="none"/>
        </w:rPr>
        <w:t>平台，</w:t>
      </w:r>
      <w:r>
        <w:rPr>
          <w:rFonts w:hint="default" w:ascii="Times New Roman" w:hAnsi="Times New Roman" w:eastAsia="仿宋_GB2312" w:cs="Times New Roman"/>
          <w:sz w:val="32"/>
          <w:szCs w:val="32"/>
          <w:highlight w:val="none"/>
          <w:lang w:val="en-US" w:eastAsia="zh-CN"/>
        </w:rPr>
        <w:t>架构起政企校产学研深度融合的桥梁</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lang w:val="en-US" w:eastAsia="zh-CN"/>
        </w:rPr>
        <w:t>赛事</w:t>
      </w:r>
      <w:r>
        <w:rPr>
          <w:rFonts w:hint="default" w:ascii="Times New Roman" w:hAnsi="Times New Roman" w:eastAsia="黑体" w:cs="Times New Roman"/>
          <w:sz w:val="32"/>
          <w:szCs w:val="32"/>
          <w:highlight w:val="none"/>
          <w:lang w:val="en-US" w:eastAsia="zh-CN"/>
        </w:rPr>
        <w:t>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青智未来</w:t>
      </w:r>
      <w:r>
        <w:rPr>
          <w:rFonts w:hint="eastAsia"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新质生产力专项赛：</w:t>
      </w:r>
      <w:r>
        <w:rPr>
          <w:rFonts w:hint="default" w:ascii="Times New Roman" w:hAnsi="Times New Roman" w:eastAsia="仿宋_GB2312" w:cs="Times New Roman"/>
          <w:b w:val="0"/>
          <w:bCs w:val="0"/>
          <w:color w:val="auto"/>
          <w:sz w:val="32"/>
          <w:szCs w:val="32"/>
          <w:highlight w:val="none"/>
        </w:rPr>
        <w:t>围绕新能源、新材料、先进制造、人工智能等战略性新兴产业，面向我国经济高质量发展、民生改善等重点领域的迫切需要，聚焦解决“卡脖子”技术难题和推动“高精尖”产业发展</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val="en-US" w:eastAsia="zh-CN"/>
        </w:rPr>
        <w:t>提交规范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Cs/>
          <w:color w:val="000000" w:themeColor="text1"/>
          <w:sz w:val="32"/>
          <w:szCs w:val="32"/>
          <w:highlight w:val="none"/>
          <w:lang w:val="en-US" w:eastAsia="zh-CN"/>
          <w14:textFill>
            <w14:solidFill>
              <w14:schemeClr w14:val="tx1"/>
            </w14:solidFill>
          </w14:textFill>
        </w:rPr>
        <w:t>（一）项目命名规则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1.</w:t>
      </w:r>
      <w:r>
        <w:rPr>
          <w:rFonts w:hint="eastAsia" w:eastAsia="仿宋_GB2312" w:cs="仿宋_GB2312"/>
          <w:bCs/>
          <w:color w:val="000000" w:themeColor="text1"/>
          <w:sz w:val="32"/>
          <w:szCs w:val="32"/>
          <w:highlight w:val="none"/>
          <w:lang w:val="en-US" w:eastAsia="zh-CN"/>
          <w14:textFill>
            <w14:solidFill>
              <w14:schemeClr w14:val="tx1"/>
            </w14:solidFill>
          </w14:textFill>
        </w:rPr>
        <w:t>项目申报表：</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统一命名为：“xxxx专项赛+</w:t>
      </w:r>
      <w:r>
        <w:rPr>
          <w:rFonts w:hint="eastAsia" w:eastAsia="仿宋_GB2312" w:cs="仿宋_GB2312"/>
          <w:bCs/>
          <w:color w:val="000000" w:themeColor="text1"/>
          <w:sz w:val="32"/>
          <w:szCs w:val="32"/>
          <w:highlight w:val="none"/>
          <w:lang w:val="en-US" w:eastAsia="zh-CN"/>
          <w14:textFill>
            <w14:solidFill>
              <w14:schemeClr w14:val="tx1"/>
            </w14:solidFill>
          </w14:textFill>
        </w:rPr>
        <w:t>项目申报表+</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需求序号+选题名称+负责人姓名”，以</w:t>
      </w:r>
      <w:r>
        <w:rPr>
          <w:rFonts w:hint="eastAsia" w:ascii="Times New Roman" w:hAnsi="Times New Roman" w:eastAsia="仿宋_GB2312" w:cs="仿宋_GB2312"/>
          <w:b/>
          <w:bCs w:val="0"/>
          <w:color w:val="FF0000"/>
          <w:sz w:val="32"/>
          <w:szCs w:val="32"/>
          <w:highlight w:val="none"/>
          <w:lang w:val="en-US" w:eastAsia="zh-CN"/>
        </w:rPr>
        <w:t>Word格式</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提交。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Cs/>
          <w:color w:val="000000" w:themeColor="text1"/>
          <w:sz w:val="32"/>
          <w:szCs w:val="32"/>
          <w:highlight w:val="none"/>
          <w:lang w:eastAsia="zh-CN"/>
          <w14:textFill>
            <w14:solidFill>
              <w14:schemeClr w14:val="tx1"/>
            </w14:solidFill>
          </w14:textFill>
        </w:rPr>
      </w:pPr>
      <w:r>
        <w:rPr>
          <w:rFonts w:hint="eastAsia" w:ascii="Times New Roman" w:hAnsi="Times New Roman" w:eastAsia="楷体_GB2312" w:cs="楷体"/>
          <w:color w:val="7F7F7F" w:themeColor="background1" w:themeShade="80"/>
          <w:sz w:val="32"/>
          <w:szCs w:val="32"/>
        </w:rPr>
        <w:t>例：“</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rPr>
        <w:t>青智未来</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lang w:val="en-US" w:eastAsia="zh-CN"/>
        </w:rPr>
        <w:t>专项赛</w:t>
      </w:r>
      <w:r>
        <w:rPr>
          <w:rFonts w:hint="eastAsia" w:ascii="Times New Roman" w:hAnsi="Times New Roman" w:eastAsia="楷体_GB2312" w:cs="楷体"/>
          <w:color w:val="7F7F7F" w:themeColor="background1" w:themeShade="80"/>
          <w:sz w:val="32"/>
          <w:szCs w:val="32"/>
        </w:rPr>
        <w:t>+</w:t>
      </w:r>
      <w:r>
        <w:rPr>
          <w:rFonts w:hint="eastAsia" w:ascii="Times New Roman" w:hAnsi="Times New Roman" w:eastAsia="楷体_GB2312" w:cs="楷体"/>
          <w:color w:val="7F7F7F" w:themeColor="background1" w:themeShade="80"/>
          <w:sz w:val="32"/>
          <w:szCs w:val="32"/>
          <w:lang w:val="en-US" w:eastAsia="zh-CN"/>
        </w:rPr>
        <w:t>项目</w:t>
      </w:r>
      <w:r>
        <w:rPr>
          <w:rFonts w:hint="eastAsia" w:eastAsia="楷体_GB2312" w:cs="楷体"/>
          <w:color w:val="7F7F7F" w:themeColor="background1" w:themeShade="80"/>
          <w:sz w:val="32"/>
          <w:szCs w:val="32"/>
          <w:lang w:val="en-US" w:eastAsia="zh-CN"/>
        </w:rPr>
        <w:t>申报表</w:t>
      </w:r>
      <w:r>
        <w:rPr>
          <w:rFonts w:hint="eastAsia" w:ascii="Times New Roman" w:hAnsi="Times New Roman" w:eastAsia="楷体_GB2312" w:cs="楷体"/>
          <w:color w:val="7F7F7F" w:themeColor="background1" w:themeShade="80"/>
          <w:sz w:val="32"/>
          <w:szCs w:val="32"/>
        </w:rPr>
        <w:t>+</w:t>
      </w:r>
      <w:r>
        <w:rPr>
          <w:rFonts w:hint="eastAsia" w:ascii="Times New Roman" w:hAnsi="Times New Roman" w:eastAsia="楷体_GB2312" w:cs="楷体"/>
          <w:color w:val="7F7F7F" w:themeColor="background1" w:themeShade="80"/>
          <w:sz w:val="32"/>
          <w:szCs w:val="32"/>
          <w:lang w:val="en-US" w:eastAsia="zh-CN"/>
        </w:rPr>
        <w:t>01+三维世界通用具身智能体的应用探索+</w:t>
      </w:r>
      <w:r>
        <w:rPr>
          <w:rFonts w:hint="eastAsia" w:ascii="Times New Roman" w:hAnsi="Times New Roman" w:eastAsia="楷体_GB2312" w:cs="楷体"/>
          <w:color w:val="7F7F7F" w:themeColor="background1" w:themeShade="80"/>
          <w:sz w:val="32"/>
          <w:szCs w:val="32"/>
        </w:rPr>
        <w:t>张三”。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eastAsia="仿宋_GB2312" w:cs="仿宋_GB2312"/>
          <w:bCs/>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仿宋_GB2312"/>
          <w:bCs/>
          <w:color w:val="000000" w:themeColor="text1"/>
          <w:sz w:val="32"/>
          <w:szCs w:val="32"/>
          <w:highlight w:val="none"/>
          <w:lang w:eastAsia="zh-CN"/>
          <w14:textFill>
            <w14:solidFill>
              <w14:schemeClr w14:val="tx1"/>
            </w14:solidFill>
          </w14:textFill>
        </w:rPr>
        <w:t>项目策划书</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：统一命名为：“xxxx专项赛+需求序号+选题名称+项目策划书+负责人姓名”，以</w:t>
      </w:r>
      <w:r>
        <w:rPr>
          <w:rFonts w:hint="eastAsia" w:ascii="Times New Roman" w:hAnsi="Times New Roman" w:eastAsia="仿宋_GB2312" w:cs="仿宋_GB2312"/>
          <w:b/>
          <w:bCs w:val="0"/>
          <w:color w:val="FF0000"/>
          <w:sz w:val="32"/>
          <w:szCs w:val="32"/>
          <w:highlight w:val="none"/>
          <w:lang w:val="en-US" w:eastAsia="zh-CN"/>
        </w:rPr>
        <w:t>PDF格式</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提交。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楷体"/>
          <w:color w:val="7F7F7F" w:themeColor="background1" w:themeShade="80"/>
          <w:sz w:val="32"/>
          <w:szCs w:val="32"/>
        </w:rPr>
        <w:t>例：“</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rPr>
        <w:t>青智未来</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lang w:val="en-US" w:eastAsia="zh-CN"/>
        </w:rPr>
        <w:t>专项赛</w:t>
      </w:r>
      <w:r>
        <w:rPr>
          <w:rFonts w:hint="eastAsia" w:ascii="Times New Roman" w:hAnsi="Times New Roman" w:eastAsia="楷体_GB2312" w:cs="楷体"/>
          <w:color w:val="7F7F7F" w:themeColor="background1" w:themeShade="80"/>
          <w:sz w:val="32"/>
          <w:szCs w:val="32"/>
        </w:rPr>
        <w:t>+</w:t>
      </w:r>
      <w:r>
        <w:rPr>
          <w:rFonts w:hint="eastAsia" w:ascii="Times New Roman" w:hAnsi="Times New Roman" w:eastAsia="楷体_GB2312" w:cs="楷体"/>
          <w:color w:val="7F7F7F" w:themeColor="background1" w:themeShade="80"/>
          <w:sz w:val="32"/>
          <w:szCs w:val="32"/>
          <w:lang w:val="en-US" w:eastAsia="zh-CN"/>
        </w:rPr>
        <w:t>01+三维世界通用具身智能体的应用探索+项目策划书</w:t>
      </w:r>
      <w:r>
        <w:rPr>
          <w:rFonts w:hint="eastAsia" w:ascii="Times New Roman" w:hAnsi="Times New Roman" w:eastAsia="楷体_GB2312" w:cs="楷体"/>
          <w:color w:val="7F7F7F" w:themeColor="background1" w:themeShade="80"/>
          <w:sz w:val="32"/>
          <w:szCs w:val="32"/>
        </w:rPr>
        <w:t>+张三”。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eastAsia="仿宋_GB2312" w:cs="仿宋_GB2312"/>
          <w:bCs/>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.项目介绍材料</w:t>
      </w:r>
      <w:r>
        <w:rPr>
          <w:rFonts w:hint="eastAsia" w:ascii="Times New Roman" w:hAnsi="Times New Roman" w:eastAsia="仿宋_GB2312" w:cs="仿宋_GB2312"/>
          <w:b w:val="0"/>
          <w:bCs/>
          <w:color w:val="000000" w:themeColor="text1"/>
          <w:sz w:val="32"/>
          <w:szCs w:val="32"/>
          <w:highlight w:val="none"/>
          <w:lang w:val="en-US" w:eastAsia="zh-CN"/>
          <w14:textFill>
            <w14:solidFill>
              <w14:schemeClr w14:val="tx1"/>
            </w14:solidFill>
          </w14:textFill>
        </w:rPr>
        <w:t>（</w:t>
      </w:r>
      <w:r>
        <w:rPr>
          <w:rFonts w:hint="eastAsia" w:eastAsia="仿宋_GB2312" w:cs="仿宋_GB2312"/>
          <w:b w:val="0"/>
          <w:bCs/>
          <w:color w:val="000000" w:themeColor="text1"/>
          <w:sz w:val="32"/>
          <w:szCs w:val="32"/>
          <w:highlight w:val="none"/>
          <w:lang w:val="en-US" w:eastAsia="zh-CN"/>
          <w14:textFill>
            <w14:solidFill>
              <w14:schemeClr w14:val="tx1"/>
            </w14:solidFill>
          </w14:textFill>
        </w:rPr>
        <w:t>项目PPT，</w:t>
      </w:r>
      <w:r>
        <w:rPr>
          <w:rFonts w:hint="eastAsia" w:ascii="Times New Roman" w:hAnsi="Times New Roman" w:eastAsia="仿宋_GB2312" w:cs="仿宋_GB2312"/>
          <w:b/>
          <w:bCs w:val="0"/>
          <w:color w:val="000000" w:themeColor="text1"/>
          <w:sz w:val="32"/>
          <w:szCs w:val="32"/>
          <w:highlight w:val="none"/>
          <w:lang w:val="en-US" w:eastAsia="zh-CN"/>
          <w14:textFill>
            <w14:solidFill>
              <w14:schemeClr w14:val="tx1"/>
            </w14:solidFill>
          </w14:textFill>
        </w:rPr>
        <w:t>非必须</w:t>
      </w:r>
      <w:r>
        <w:rPr>
          <w:rFonts w:hint="eastAsia" w:ascii="Times New Roman" w:hAnsi="Times New Roman" w:eastAsia="仿宋_GB2312" w:cs="仿宋_GB2312"/>
          <w:b w:val="0"/>
          <w:bCs/>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统一命名为：“xxxx专项赛+需求序号+选题名称+项目</w:t>
      </w:r>
      <w:r>
        <w:rPr>
          <w:rFonts w:hint="eastAsia" w:eastAsia="仿宋_GB2312" w:cs="仿宋_GB2312"/>
          <w:bCs/>
          <w:color w:val="000000" w:themeColor="text1"/>
          <w:sz w:val="32"/>
          <w:szCs w:val="32"/>
          <w:highlight w:val="none"/>
          <w:lang w:val="en-US" w:eastAsia="zh-CN"/>
          <w14:textFill>
            <w14:solidFill>
              <w14:schemeClr w14:val="tx1"/>
            </w14:solidFill>
          </w14:textFill>
        </w:rPr>
        <w:t>介绍材料</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+负责人姓名”，须将项目PPT输出为PDF，以</w:t>
      </w:r>
      <w:r>
        <w:rPr>
          <w:rFonts w:hint="eastAsia" w:ascii="Times New Roman" w:hAnsi="Times New Roman" w:eastAsia="仿宋_GB2312" w:cs="仿宋_GB2312"/>
          <w:b/>
          <w:bCs w:val="0"/>
          <w:color w:val="FF0000"/>
          <w:sz w:val="32"/>
          <w:szCs w:val="32"/>
          <w:highlight w:val="none"/>
          <w:lang w:val="en-US" w:eastAsia="zh-CN"/>
        </w:rPr>
        <w:t>PDF格式</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提交。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楷体"/>
          <w:color w:val="7F7F7F" w:themeColor="background1" w:themeShade="80"/>
          <w:sz w:val="32"/>
          <w:szCs w:val="32"/>
        </w:rPr>
        <w:t>例：“</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rPr>
        <w:t>青智未来</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lang w:val="en-US" w:eastAsia="zh-CN"/>
        </w:rPr>
        <w:t>专项赛</w:t>
      </w:r>
      <w:r>
        <w:rPr>
          <w:rFonts w:hint="eastAsia" w:ascii="Times New Roman" w:hAnsi="Times New Roman" w:eastAsia="楷体_GB2312" w:cs="楷体"/>
          <w:color w:val="7F7F7F" w:themeColor="background1" w:themeShade="80"/>
          <w:sz w:val="32"/>
          <w:szCs w:val="32"/>
        </w:rPr>
        <w:t>+</w:t>
      </w:r>
      <w:r>
        <w:rPr>
          <w:rFonts w:hint="eastAsia" w:ascii="Times New Roman" w:hAnsi="Times New Roman" w:eastAsia="楷体_GB2312" w:cs="楷体"/>
          <w:color w:val="7F7F7F" w:themeColor="background1" w:themeShade="80"/>
          <w:sz w:val="32"/>
          <w:szCs w:val="32"/>
          <w:lang w:val="en-US" w:eastAsia="zh-CN"/>
        </w:rPr>
        <w:t>01+三维世界通用具身智能体的应用探索+项目介绍材料</w:t>
      </w:r>
      <w:r>
        <w:rPr>
          <w:rFonts w:hint="eastAsia" w:ascii="Times New Roman" w:hAnsi="Times New Roman" w:eastAsia="楷体_GB2312" w:cs="楷体"/>
          <w:color w:val="7F7F7F" w:themeColor="background1" w:themeShade="80"/>
          <w:sz w:val="32"/>
          <w:szCs w:val="32"/>
        </w:rPr>
        <w:t>+张三”。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pPr>
      <w:r>
        <w:rPr>
          <w:rFonts w:hint="eastAsia" w:eastAsia="仿宋_GB2312" w:cs="仿宋_GB2312"/>
          <w:bCs/>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.诚信承诺书：统一命名为：“诚信承诺书+</w:t>
      </w:r>
      <w:r>
        <w:rPr>
          <w:rFonts w:hint="eastAsia" w:eastAsia="仿宋_GB2312" w:cs="仿宋_GB2312"/>
          <w:bCs/>
          <w:color w:val="000000" w:themeColor="text1"/>
          <w:sz w:val="32"/>
          <w:szCs w:val="32"/>
          <w:highlight w:val="none"/>
          <w:lang w:val="en-US" w:eastAsia="zh-CN"/>
          <w14:textFill>
            <w14:solidFill>
              <w14:schemeClr w14:val="tx1"/>
            </w14:solidFill>
          </w14:textFill>
        </w:rPr>
        <w:t>xxx专项赛</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+负责人姓名”，</w:t>
      </w:r>
      <w:r>
        <w:rPr>
          <w:rFonts w:hint="eastAsia" w:ascii="Times New Roman" w:hAnsi="Times New Roman" w:eastAsia="仿宋_GB2312" w:cs="仿宋_GB2312"/>
          <w:b/>
          <w:bCs w:val="0"/>
          <w:color w:val="000000" w:themeColor="text1"/>
          <w:sz w:val="32"/>
          <w:szCs w:val="32"/>
          <w:highlight w:val="none"/>
          <w:lang w:val="en-US" w:eastAsia="zh-CN"/>
          <w14:textFill>
            <w14:solidFill>
              <w14:schemeClr w14:val="tx1"/>
            </w14:solidFill>
          </w14:textFill>
        </w:rPr>
        <w:t>下载附件并打印</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，由团队成员签字后</w:t>
      </w:r>
      <w:r>
        <w:rPr>
          <w:rFonts w:hint="eastAsia" w:ascii="Times New Roman" w:hAnsi="Times New Roman" w:eastAsia="仿宋_GB2312" w:cs="仿宋_GB2312"/>
          <w:b/>
          <w:bCs w:val="0"/>
          <w:color w:val="000000" w:themeColor="text1"/>
          <w:sz w:val="32"/>
          <w:szCs w:val="32"/>
          <w:highlight w:val="none"/>
          <w:lang w:val="en-US" w:eastAsia="zh-CN"/>
          <w14:textFill>
            <w14:solidFill>
              <w14:schemeClr w14:val="tx1"/>
            </w14:solidFill>
          </w14:textFill>
        </w:rPr>
        <w:t>扫描成电子版</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，以</w:t>
      </w:r>
      <w:r>
        <w:rPr>
          <w:rFonts w:hint="eastAsia" w:ascii="Times New Roman" w:hAnsi="Times New Roman" w:eastAsia="仿宋_GB2312" w:cs="仿宋_GB2312"/>
          <w:b/>
          <w:bCs w:val="0"/>
          <w:color w:val="FF0000"/>
          <w:sz w:val="32"/>
          <w:szCs w:val="32"/>
          <w:highlight w:val="none"/>
          <w:lang w:val="en-US" w:eastAsia="zh-CN"/>
        </w:rPr>
        <w:t>PDF格式</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提交。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_GB2312" w:cs="楷体"/>
          <w:color w:val="7F7F7F" w:themeColor="background1" w:themeShade="80"/>
          <w:sz w:val="32"/>
          <w:szCs w:val="32"/>
        </w:rPr>
      </w:pPr>
      <w:r>
        <w:rPr>
          <w:rFonts w:hint="eastAsia" w:ascii="Times New Roman" w:hAnsi="Times New Roman" w:eastAsia="楷体_GB2312" w:cs="楷体"/>
          <w:color w:val="7F7F7F" w:themeColor="background1" w:themeShade="80"/>
          <w:sz w:val="32"/>
          <w:szCs w:val="32"/>
        </w:rPr>
        <w:t>例：“</w:t>
      </w:r>
      <w:r>
        <w:rPr>
          <w:rFonts w:hint="eastAsia" w:ascii="Times New Roman" w:hAnsi="Times New Roman" w:eastAsia="楷体_GB2312" w:cs="楷体"/>
          <w:color w:val="7F7F7F" w:themeColor="background1" w:themeShade="80"/>
          <w:sz w:val="32"/>
          <w:szCs w:val="32"/>
          <w:lang w:val="en-US" w:eastAsia="zh-CN"/>
        </w:rPr>
        <w:t>诚信承诺书</w:t>
      </w:r>
      <w:r>
        <w:rPr>
          <w:rFonts w:hint="eastAsia" w:eastAsia="楷体_GB2312" w:cs="楷体"/>
          <w:color w:val="7F7F7F" w:themeColor="background1" w:themeShade="80"/>
          <w:sz w:val="32"/>
          <w:szCs w:val="32"/>
          <w:lang w:val="en-US" w:eastAsia="zh-CN"/>
        </w:rPr>
        <w:t>+</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rPr>
        <w:t>青智未来</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lang w:val="en-US" w:eastAsia="zh-CN"/>
        </w:rPr>
        <w:t>专项赛</w:t>
      </w:r>
      <w:r>
        <w:rPr>
          <w:rFonts w:hint="eastAsia" w:ascii="Times New Roman" w:hAnsi="Times New Roman" w:eastAsia="楷体_GB2312" w:cs="楷体"/>
          <w:color w:val="7F7F7F" w:themeColor="background1" w:themeShade="80"/>
          <w:sz w:val="32"/>
          <w:szCs w:val="32"/>
        </w:rPr>
        <w:t>+张三”。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楷体"/>
          <w:color w:val="7F7F7F" w:themeColor="background1" w:themeShade="80"/>
          <w:sz w:val="32"/>
          <w:szCs w:val="32"/>
          <w:lang w:val="en-US" w:eastAsia="zh-CN"/>
        </w:rPr>
      </w:pPr>
      <w:r>
        <w:rPr>
          <w:rFonts w:hint="eastAsia" w:eastAsia="仿宋_GB2312" w:cs="仿宋_GB2312"/>
          <w:bCs/>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.其他材料</w:t>
      </w:r>
      <w:r>
        <w:rPr>
          <w:rFonts w:hint="eastAsia" w:ascii="Times New Roman" w:hAnsi="Times New Roman" w:eastAsia="仿宋_GB2312" w:cs="仿宋_GB2312"/>
          <w:b/>
          <w:bCs w:val="0"/>
          <w:color w:val="000000" w:themeColor="text1"/>
          <w:sz w:val="32"/>
          <w:szCs w:val="32"/>
          <w:highlight w:val="none"/>
          <w:lang w:val="en-US" w:eastAsia="zh-CN"/>
          <w14:textFill>
            <w14:solidFill>
              <w14:schemeClr w14:val="tx1"/>
            </w14:solidFill>
          </w14:textFill>
        </w:rPr>
        <w:t>（非必填）</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：如选题本身有要求提交其他材料，请以选题实际要求为准。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Cs/>
          <w:color w:val="000000" w:themeColor="text1"/>
          <w:sz w:val="32"/>
          <w:szCs w:val="32"/>
          <w:highlight w:val="none"/>
          <w:lang w:val="en-US" w:eastAsia="zh-CN"/>
          <w14:textFill>
            <w14:solidFill>
              <w14:schemeClr w14:val="tx1"/>
            </w14:solidFill>
          </w14:textFill>
        </w:rPr>
        <w:t>（二）项目提交注意事项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pP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1.邮件主题命名为：“</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xxx专项赛</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需求序号+选题名称+负责人姓名</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”。邮件主题中的选题名称、文件名中的选题名称应保持一致（包括标点符号的全角与半角）。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pPr>
      <w:r>
        <w:rPr>
          <w:rFonts w:hint="eastAsia" w:ascii="Times New Roman" w:hAnsi="Times New Roman" w:eastAsia="楷体_GB2312" w:cs="楷体"/>
          <w:color w:val="7F7F7F" w:themeColor="background1" w:themeShade="80"/>
          <w:sz w:val="32"/>
          <w:szCs w:val="32"/>
        </w:rPr>
        <w:t>例：“</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rPr>
        <w:t>青智未来</w:t>
      </w:r>
      <w:r>
        <w:rPr>
          <w:rFonts w:hint="eastAsia" w:ascii="Times New Roman" w:hAnsi="Times New Roman" w:eastAsia="楷体_GB2312" w:cs="楷体"/>
          <w:color w:val="7F7F7F" w:themeColor="background1" w:themeShade="80"/>
          <w:sz w:val="32"/>
          <w:szCs w:val="32"/>
          <w:lang w:eastAsia="zh-CN"/>
        </w:rPr>
        <w:t>”</w:t>
      </w:r>
      <w:r>
        <w:rPr>
          <w:rFonts w:hint="eastAsia" w:ascii="Times New Roman" w:hAnsi="Times New Roman" w:eastAsia="楷体_GB2312" w:cs="楷体"/>
          <w:color w:val="7F7F7F" w:themeColor="background1" w:themeShade="80"/>
          <w:sz w:val="32"/>
          <w:szCs w:val="32"/>
          <w:lang w:val="en-US" w:eastAsia="zh-CN"/>
        </w:rPr>
        <w:t>专项赛</w:t>
      </w:r>
      <w:r>
        <w:rPr>
          <w:rFonts w:hint="eastAsia" w:ascii="Times New Roman" w:hAnsi="Times New Roman" w:eastAsia="楷体_GB2312" w:cs="楷体"/>
          <w:color w:val="7F7F7F" w:themeColor="background1" w:themeShade="80"/>
          <w:sz w:val="32"/>
          <w:szCs w:val="32"/>
        </w:rPr>
        <w:t>+</w:t>
      </w:r>
      <w:r>
        <w:rPr>
          <w:rFonts w:hint="eastAsia" w:ascii="Times New Roman" w:hAnsi="Times New Roman" w:eastAsia="楷体_GB2312" w:cs="楷体"/>
          <w:color w:val="7F7F7F" w:themeColor="background1" w:themeShade="80"/>
          <w:sz w:val="32"/>
          <w:szCs w:val="32"/>
          <w:lang w:val="en-US" w:eastAsia="zh-CN"/>
        </w:rPr>
        <w:t>01+三维世界通用具身智能体的应用探索</w:t>
      </w:r>
      <w:r>
        <w:rPr>
          <w:rFonts w:hint="eastAsia" w:ascii="Times New Roman" w:hAnsi="Times New Roman" w:eastAsia="楷体_GB2312" w:cs="楷体"/>
          <w:color w:val="7F7F7F" w:themeColor="background1" w:themeShade="80"/>
          <w:sz w:val="32"/>
          <w:szCs w:val="32"/>
        </w:rPr>
        <w:t>+张三”。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pP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2.投递材料</w:t>
      </w:r>
      <w:r>
        <w:rPr>
          <w:rFonts w:hint="eastAsia" w:eastAsia="仿宋_GB2312" w:cs="仿宋_GB2312"/>
          <w:i w:val="0"/>
          <w:iCs w:val="0"/>
          <w:caps w:val="0"/>
          <w:color w:val="auto"/>
          <w:spacing w:val="0"/>
          <w:sz w:val="32"/>
          <w:szCs w:val="32"/>
          <w:highlight w:val="none"/>
          <w:u w:val="none"/>
          <w:shd w:val="clear"/>
          <w:lang w:val="en-US" w:eastAsia="zh-CN"/>
        </w:rPr>
        <w:t>时</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须</w:t>
      </w:r>
      <w:r>
        <w:rPr>
          <w:rFonts w:hint="eastAsia" w:eastAsia="仿宋_GB2312" w:cs="仿宋_GB2312"/>
          <w:i w:val="0"/>
          <w:iCs w:val="0"/>
          <w:caps w:val="0"/>
          <w:color w:val="auto"/>
          <w:spacing w:val="0"/>
          <w:sz w:val="32"/>
          <w:szCs w:val="32"/>
          <w:highlight w:val="none"/>
          <w:u w:val="none"/>
          <w:shd w:val="clear"/>
          <w:lang w:val="en-US" w:eastAsia="zh-CN"/>
        </w:rPr>
        <w:t>将至少3个</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附件（</w:t>
      </w:r>
      <w:r>
        <w:rPr>
          <w:rFonts w:hint="eastAsia" w:eastAsia="仿宋_GB2312" w:cs="仿宋_GB2312"/>
          <w:i w:val="0"/>
          <w:iCs w:val="0"/>
          <w:caps w:val="0"/>
          <w:color w:val="auto"/>
          <w:spacing w:val="0"/>
          <w:sz w:val="32"/>
          <w:szCs w:val="32"/>
          <w:highlight w:val="none"/>
          <w:u w:val="none"/>
          <w:shd w:val="clear"/>
          <w:lang w:val="en-US" w:eastAsia="zh-CN"/>
        </w:rPr>
        <w:t>项目申报表、</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项目策划书、</w:t>
      </w:r>
      <w:r>
        <w:rPr>
          <w:rFonts w:hint="eastAsia" w:ascii="Times New Roman" w:hAnsi="Times New Roman" w:eastAsia="仿宋_GB2312" w:cs="仿宋_GB2312"/>
          <w:bCs/>
          <w:color w:val="000000" w:themeColor="text1"/>
          <w:sz w:val="32"/>
          <w:szCs w:val="32"/>
          <w:highlight w:val="none"/>
          <w:lang w:val="en-US" w:eastAsia="zh-CN"/>
          <w14:textFill>
            <w14:solidFill>
              <w14:schemeClr w14:val="tx1"/>
            </w14:solidFill>
          </w14:textFill>
        </w:rPr>
        <w:t>项目介绍材料</w:t>
      </w:r>
      <w:r>
        <w:rPr>
          <w:rFonts w:hint="eastAsia" w:ascii="Times New Roman" w:hAnsi="Times New Roman" w:eastAsia="仿宋_GB2312" w:cs="仿宋_GB2312"/>
          <w:b/>
          <w:bCs w:val="0"/>
          <w:color w:val="000000" w:themeColor="text1"/>
          <w:sz w:val="32"/>
          <w:szCs w:val="32"/>
          <w:highlight w:val="none"/>
          <w:lang w:val="en-US" w:eastAsia="zh-CN"/>
          <w14:textFill>
            <w14:solidFill>
              <w14:schemeClr w14:val="tx1"/>
            </w14:solidFill>
          </w14:textFill>
        </w:rPr>
        <w:t>（非必须）</w:t>
      </w:r>
      <w:r>
        <w:rPr>
          <w:rFonts w:hint="eastAsia" w:eastAsia="仿宋_GB2312" w:cs="仿宋_GB2312"/>
          <w:b w:val="0"/>
          <w:bCs/>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诚信承诺书）</w:t>
      </w:r>
      <w:r>
        <w:rPr>
          <w:rFonts w:hint="eastAsia" w:ascii="Times New Roman" w:hAnsi="Times New Roman" w:eastAsia="仿宋_GB2312" w:cs="仿宋_GB2312"/>
          <w:b/>
          <w:bCs/>
          <w:i w:val="0"/>
          <w:iCs w:val="0"/>
          <w:caps w:val="0"/>
          <w:color w:val="auto"/>
          <w:spacing w:val="0"/>
          <w:sz w:val="32"/>
          <w:szCs w:val="32"/>
          <w:highlight w:val="none"/>
          <w:u w:val="none"/>
          <w:shd w:val="clear"/>
          <w:lang w:val="en-US" w:eastAsia="zh-CN"/>
        </w:rPr>
        <w:t>发送至邮箱</w:t>
      </w:r>
      <w:r>
        <w:rPr>
          <w:rFonts w:hint="default" w:ascii="Times New Roman" w:hAnsi="Times New Roman" w:eastAsia="仿宋_GB2312" w:cs="Times New Roman Bold"/>
          <w:b/>
          <w:bCs/>
          <w:i w:val="0"/>
          <w:iCs w:val="0"/>
          <w:caps w:val="0"/>
          <w:color w:val="FF0000"/>
          <w:spacing w:val="0"/>
          <w:sz w:val="32"/>
          <w:szCs w:val="32"/>
          <w:highlight w:val="none"/>
          <w:u w:val="none"/>
          <w:shd w:val="clear"/>
          <w:lang w:val="en-US" w:eastAsia="zh-CN"/>
        </w:rPr>
        <w:t>bnujsb@126.com</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。请勿</w:t>
      </w:r>
      <w:r>
        <w:rPr>
          <w:rFonts w:hint="eastAsia" w:eastAsia="仿宋_GB2312" w:cs="仿宋_GB2312"/>
          <w:i w:val="0"/>
          <w:iCs w:val="0"/>
          <w:caps w:val="0"/>
          <w:color w:val="auto"/>
          <w:spacing w:val="0"/>
          <w:sz w:val="32"/>
          <w:szCs w:val="32"/>
          <w:highlight w:val="none"/>
          <w:u w:val="none"/>
          <w:shd w:val="clear"/>
          <w:lang w:val="en-US" w:eastAsia="zh-CN"/>
        </w:rPr>
        <w:t>以</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压缩</w:t>
      </w:r>
      <w:r>
        <w:rPr>
          <w:rFonts w:hint="eastAsia" w:eastAsia="仿宋_GB2312" w:cs="仿宋_GB2312"/>
          <w:i w:val="0"/>
          <w:iCs w:val="0"/>
          <w:caps w:val="0"/>
          <w:color w:val="auto"/>
          <w:spacing w:val="0"/>
          <w:sz w:val="32"/>
          <w:szCs w:val="32"/>
          <w:highlight w:val="none"/>
          <w:u w:val="none"/>
          <w:shd w:val="clear"/>
          <w:lang w:val="en-US" w:eastAsia="zh-CN"/>
        </w:rPr>
        <w:t>包形式</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上传</w:t>
      </w:r>
      <w:r>
        <w:rPr>
          <w:rFonts w:hint="eastAsia" w:eastAsia="仿宋_GB2312" w:cs="仿宋_GB2312"/>
          <w:i w:val="0"/>
          <w:iCs w:val="0"/>
          <w:caps w:val="0"/>
          <w:color w:val="auto"/>
          <w:spacing w:val="0"/>
          <w:sz w:val="32"/>
          <w:szCs w:val="32"/>
          <w:highlight w:val="none"/>
          <w:u w:val="none"/>
          <w:shd w:val="clear"/>
          <w:lang w:val="en-US" w:eastAsia="zh-CN"/>
        </w:rPr>
        <w:t>，请勿</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上传其他附件，请勿发送超大附件</w:t>
      </w:r>
      <w:r>
        <w:rPr>
          <w:rFonts w:hint="eastAsia" w:eastAsia="仿宋_GB2312" w:cs="仿宋_GB2312"/>
          <w:i w:val="0"/>
          <w:iCs w:val="0"/>
          <w:caps w:val="0"/>
          <w:color w:val="auto"/>
          <w:spacing w:val="0"/>
          <w:sz w:val="32"/>
          <w:szCs w:val="32"/>
          <w:highlight w:val="none"/>
          <w:u w:val="none"/>
          <w:shd w:val="clear"/>
          <w:lang w:val="en-US" w:eastAsia="zh-CN"/>
        </w:rPr>
        <w:t>（≥50M）</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以免出现文件过期等问题</w:t>
      </w:r>
      <w:r>
        <w:rPr>
          <w:rFonts w:hint="eastAsia" w:eastAsia="仿宋_GB2312" w:cs="仿宋_GB2312"/>
          <w:i w:val="0"/>
          <w:iCs w:val="0"/>
          <w:caps w:val="0"/>
          <w:color w:val="auto"/>
          <w:spacing w:val="0"/>
          <w:sz w:val="32"/>
          <w:szCs w:val="32"/>
          <w:highlight w:val="none"/>
          <w:u w:val="none"/>
          <w:shd w:val="clear"/>
          <w:lang w:val="en-US" w:eastAsia="zh-CN"/>
        </w:rPr>
        <w:t>。建议使用电脑端发送。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pPr>
      <w:r>
        <w:rPr>
          <w:rFonts w:hint="eastAsia" w:eastAsia="仿宋_GB2312" w:cs="仿宋_GB2312"/>
          <w:i w:val="0"/>
          <w:iCs w:val="0"/>
          <w:caps w:val="0"/>
          <w:color w:val="auto"/>
          <w:spacing w:val="0"/>
          <w:sz w:val="32"/>
          <w:szCs w:val="32"/>
          <w:highlight w:val="none"/>
          <w:u w:val="none"/>
          <w:shd w:val="clear"/>
          <w:lang w:val="en-US" w:eastAsia="zh-CN"/>
        </w:rPr>
        <w:t>3</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w:t>
      </w:r>
      <w:r>
        <w:rPr>
          <w:rFonts w:hint="eastAsia" w:eastAsia="仿宋_GB2312" w:cs="仿宋_GB2312"/>
          <w:i w:val="0"/>
          <w:iCs w:val="0"/>
          <w:caps w:val="0"/>
          <w:color w:val="auto"/>
          <w:spacing w:val="0"/>
          <w:sz w:val="32"/>
          <w:szCs w:val="32"/>
          <w:highlight w:val="none"/>
          <w:u w:val="none"/>
          <w:shd w:val="clear"/>
          <w:lang w:val="en-US" w:eastAsia="zh-CN"/>
        </w:rPr>
        <w:t>命名时</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使用全角标点符号可</w:t>
      </w:r>
      <w:r>
        <w:rPr>
          <w:rFonts w:hint="eastAsia" w:eastAsia="仿宋_GB2312" w:cs="仿宋_GB2312"/>
          <w:i w:val="0"/>
          <w:iCs w:val="0"/>
          <w:caps w:val="0"/>
          <w:color w:val="auto"/>
          <w:spacing w:val="0"/>
          <w:sz w:val="32"/>
          <w:szCs w:val="32"/>
          <w:highlight w:val="none"/>
          <w:u w:val="none"/>
          <w:shd w:val="clear"/>
          <w:lang w:val="en-US" w:eastAsia="zh-CN"/>
        </w:rPr>
        <w:t>避免因</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文件包含特定字符</w:t>
      </w:r>
      <w:r>
        <w:rPr>
          <w:rFonts w:hint="eastAsia" w:eastAsia="仿宋_GB2312" w:cs="仿宋_GB2312"/>
          <w:i w:val="0"/>
          <w:iCs w:val="0"/>
          <w:caps w:val="0"/>
          <w:color w:val="auto"/>
          <w:spacing w:val="0"/>
          <w:sz w:val="32"/>
          <w:szCs w:val="32"/>
          <w:highlight w:val="none"/>
          <w:u w:val="none"/>
          <w:shd w:val="clear"/>
          <w:lang w:val="en-US" w:eastAsia="zh-CN"/>
        </w:rPr>
        <w:t>而导致命名失败。</w:t>
      </w:r>
      <w:r>
        <w:rPr>
          <w:rFonts w:hint="eastAsia" w:ascii="仿宋" w:hAnsi="仿宋" w:eastAsia="仿宋" w:cs="仿宋"/>
          <w:color w:val="auto"/>
          <w:sz w:val="32"/>
          <w:szCs w:val="32"/>
          <w:lang w:val="en-US" w:eastAsia="zh-CN"/>
        </w:rPr>
        <w:t>命名时使用的“+”请勿换为“ ”“-”或“➕”。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sz w:val="32"/>
          <w:szCs w:val="32"/>
          <w:highlight w:val="none"/>
        </w:rPr>
      </w:pPr>
      <w:r>
        <w:rPr>
          <w:rFonts w:hint="eastAsia" w:eastAsia="仿宋_GB2312" w:cs="仿宋_GB2312"/>
          <w:i w:val="0"/>
          <w:iCs w:val="0"/>
          <w:caps w:val="0"/>
          <w:color w:val="auto"/>
          <w:spacing w:val="0"/>
          <w:sz w:val="32"/>
          <w:szCs w:val="32"/>
          <w:highlight w:val="none"/>
          <w:u w:val="none"/>
          <w:shd w:val="clear"/>
          <w:lang w:val="en-US" w:eastAsia="zh-CN"/>
        </w:rPr>
        <w:t>4</w:t>
      </w:r>
      <w:r>
        <w:rPr>
          <w:rFonts w:hint="eastAsia" w:ascii="Times New Roman" w:hAnsi="Times New Roman" w:eastAsia="仿宋_GB2312" w:cs="仿宋_GB2312"/>
          <w:i w:val="0"/>
          <w:iCs w:val="0"/>
          <w:caps w:val="0"/>
          <w:color w:val="auto"/>
          <w:spacing w:val="0"/>
          <w:sz w:val="32"/>
          <w:szCs w:val="32"/>
          <w:highlight w:val="none"/>
          <w:u w:val="none"/>
          <w:shd w:val="clear"/>
          <w:lang w:val="en-US" w:eastAsia="zh-CN"/>
        </w:rPr>
        <w:t>.有任何问题请通过邮箱bnuxskx@126.com咨询。</w:t>
      </w:r>
    </w:p>
    <w:p>
      <w:pPr>
        <w:rPr>
          <w:rFonts w:ascii="Times New Roman" w:hAnsi="Times New Roman"/>
          <w:highlight w:val="none"/>
        </w:rPr>
      </w:pPr>
    </w:p>
    <w:p>
      <w:pPr>
        <w:widowControl/>
        <w:adjustRightInd w:val="0"/>
        <w:snapToGrid w:val="0"/>
        <w:spacing w:line="600" w:lineRule="exact"/>
        <w:jc w:val="center"/>
        <w:rPr>
          <w:rFonts w:hint="eastAsia" w:ascii="Times New Roman" w:hAnsi="Times New Roman" w:eastAsia="方正小标宋简体" w:cs="Times New Roman"/>
          <w:kern w:val="0"/>
          <w:sz w:val="44"/>
          <w:szCs w:val="32"/>
          <w:lang w:val="en-GB" w:eastAsia="zh-CN"/>
        </w:rPr>
        <w:sectPr>
          <w:headerReference r:id="rId3" w:type="default"/>
          <w:footerReference r:id="rId4" w:type="default"/>
          <w:pgSz w:w="11900" w:h="16840"/>
          <w:pgMar w:top="1431" w:right="1105" w:bottom="1495" w:left="1604" w:header="0" w:footer="1346" w:gutter="0"/>
          <w:pgNumType w:fmt="numberInDash"/>
          <w:cols w:space="720" w:num="1"/>
        </w:sectPr>
      </w:pP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青智未来</w:t>
      </w:r>
      <w:r>
        <w:rPr>
          <w:rFonts w:hint="eastAsia" w:ascii="Times New Roman" w:hAnsi="Times New Roman" w:eastAsia="方正小标宋简体" w:cs="Times New Roman"/>
          <w:kern w:val="0"/>
          <w:sz w:val="44"/>
          <w:szCs w:val="32"/>
          <w:lang w:val="en-GB" w:eastAsia="zh-CN"/>
        </w:rPr>
        <w:t>”</w:t>
      </w:r>
      <w:r>
        <w:rPr>
          <w:rFonts w:hint="default" w:ascii="Times New Roman" w:hAnsi="Times New Roman" w:eastAsia="方正小标宋简体" w:cs="Times New Roman"/>
          <w:kern w:val="0"/>
          <w:sz w:val="44"/>
          <w:szCs w:val="32"/>
          <w:lang w:val="en-GB"/>
        </w:rPr>
        <w:t>新质生产力专项赛</w:t>
      </w:r>
    </w:p>
    <w:p>
      <w:pPr>
        <w:keepNext w:val="0"/>
        <w:keepLines w:val="0"/>
        <w:pageBreakBefore w:val="0"/>
        <w:widowControl/>
        <w:tabs>
          <w:tab w:val="left" w:pos="8640"/>
        </w:tabs>
        <w:kinsoku/>
        <w:wordWrap/>
        <w:overflowPunct/>
        <w:topLinePunct w:val="0"/>
        <w:autoSpaceDE/>
        <w:autoSpaceDN/>
        <w:bidi w:val="0"/>
        <w:adjustRightInd w:val="0"/>
        <w:snapToGrid w:val="0"/>
        <w:spacing w:after="0" w:afterLines="50" w:line="640" w:lineRule="exact"/>
        <w:jc w:val="center"/>
        <w:textAlignment w:val="auto"/>
        <w:rPr>
          <w:rFonts w:hint="default" w:ascii="Times New Roman" w:hAnsi="Times New Roman" w:eastAsia="仿宋" w:cs="Times New Roman"/>
          <w:kern w:val="0"/>
          <w:sz w:val="32"/>
          <w:szCs w:val="32"/>
          <w:lang w:val="en-US"/>
        </w:rPr>
      </w:pPr>
      <w:r>
        <w:rPr>
          <w:rFonts w:hint="default" w:ascii="Times New Roman" w:hAnsi="Times New Roman" w:eastAsia="方正小标宋简体" w:cs="Times New Roman"/>
          <w:kern w:val="0"/>
          <w:sz w:val="44"/>
          <w:szCs w:val="32"/>
          <w:lang w:val="en-GB"/>
        </w:rPr>
        <w:t>需求榜单</w:t>
      </w:r>
    </w:p>
    <w:tbl>
      <w:tblPr>
        <w:tblStyle w:val="9"/>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6235"/>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黑体" w:cs="Times New Roman"/>
                <w:bCs/>
                <w:kern w:val="0"/>
                <w:sz w:val="32"/>
                <w:szCs w:val="32"/>
                <w:lang w:val="en-GB"/>
              </w:rPr>
            </w:pPr>
            <w:r>
              <w:rPr>
                <w:rFonts w:hint="default" w:ascii="Times New Roman" w:hAnsi="Times New Roman" w:eastAsia="黑体" w:cs="Times New Roman"/>
                <w:bCs/>
                <w:kern w:val="0"/>
                <w:sz w:val="32"/>
                <w:szCs w:val="32"/>
                <w:lang w:val="en-GB"/>
              </w:rPr>
              <w:t>序号</w:t>
            </w:r>
          </w:p>
        </w:tc>
        <w:tc>
          <w:tcPr>
            <w:tcW w:w="6235" w:type="dxa"/>
            <w:vAlign w:val="center"/>
          </w:tcPr>
          <w:p>
            <w:pPr>
              <w:widowControl/>
              <w:adjustRightInd w:val="0"/>
              <w:snapToGrid w:val="0"/>
              <w:spacing w:line="560" w:lineRule="exact"/>
              <w:jc w:val="center"/>
              <w:rPr>
                <w:rFonts w:hint="default" w:ascii="Times New Roman" w:hAnsi="Times New Roman" w:eastAsia="黑体" w:cs="Times New Roman"/>
                <w:bCs/>
                <w:kern w:val="0"/>
                <w:sz w:val="32"/>
                <w:szCs w:val="32"/>
                <w:lang w:val="en-GB"/>
              </w:rPr>
            </w:pPr>
            <w:r>
              <w:rPr>
                <w:rFonts w:hint="default" w:ascii="Times New Roman" w:hAnsi="Times New Roman" w:eastAsia="黑体" w:cs="Times New Roman"/>
                <w:bCs/>
                <w:kern w:val="0"/>
                <w:sz w:val="32"/>
                <w:szCs w:val="32"/>
                <w:lang w:val="en-GB"/>
              </w:rPr>
              <w:t>选  题</w:t>
            </w:r>
          </w:p>
        </w:tc>
        <w:tc>
          <w:tcPr>
            <w:tcW w:w="2366" w:type="dxa"/>
            <w:vAlign w:val="center"/>
          </w:tcPr>
          <w:p>
            <w:pPr>
              <w:widowControl/>
              <w:adjustRightInd w:val="0"/>
              <w:snapToGrid w:val="0"/>
              <w:spacing w:line="560" w:lineRule="exact"/>
              <w:jc w:val="center"/>
              <w:rPr>
                <w:rFonts w:hint="default" w:ascii="Times New Roman" w:hAnsi="Times New Roman" w:eastAsia="黑体" w:cs="Times New Roman"/>
                <w:bCs/>
                <w:kern w:val="0"/>
                <w:sz w:val="32"/>
                <w:szCs w:val="32"/>
                <w:lang w:val="en-GB"/>
              </w:rPr>
            </w:pPr>
            <w:r>
              <w:rPr>
                <w:rFonts w:hint="default" w:ascii="Times New Roman" w:hAnsi="Times New Roman" w:eastAsia="黑体" w:cs="Times New Roman"/>
                <w:bCs/>
                <w:kern w:val="0"/>
                <w:sz w:val="32"/>
                <w:szCs w:val="32"/>
                <w:lang w:val="en-GB"/>
              </w:rPr>
              <w:t>出题单位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kern w:val="0"/>
                <w:sz w:val="24"/>
                <w:lang w:val="en-GB"/>
              </w:rPr>
            </w:pPr>
            <w:r>
              <w:rPr>
                <w:rFonts w:hint="default" w:ascii="Times New Roman" w:hAnsi="Times New Roman" w:eastAsia="仿宋_GB2312" w:cs="Times New Roman"/>
                <w:kern w:val="0"/>
                <w:sz w:val="24"/>
                <w:lang w:val="en-GB"/>
              </w:rPr>
              <w:t>1</w:t>
            </w:r>
          </w:p>
        </w:tc>
        <w:tc>
          <w:tcPr>
            <w:tcW w:w="6235"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三维世界通用具身智能体的应用探索</w:t>
            </w:r>
          </w:p>
        </w:tc>
        <w:tc>
          <w:tcPr>
            <w:tcW w:w="2366"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北京通用人工智能研究院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bCs/>
                <w:kern w:val="0"/>
                <w:sz w:val="24"/>
                <w:lang w:val="en-GB"/>
              </w:rPr>
            </w:pPr>
            <w:r>
              <w:rPr>
                <w:rFonts w:hint="default" w:ascii="Times New Roman" w:hAnsi="Times New Roman" w:eastAsia="仿宋_GB2312" w:cs="Times New Roman"/>
                <w:kern w:val="0"/>
                <w:sz w:val="24"/>
                <w:lang w:val="en-GB"/>
              </w:rPr>
              <w:t>2</w:t>
            </w:r>
          </w:p>
        </w:tc>
        <w:tc>
          <w:tcPr>
            <w:tcW w:w="6235" w:type="dxa"/>
            <w:vAlign w:val="center"/>
          </w:tcPr>
          <w:p>
            <w:pPr>
              <w:widowControl/>
              <w:adjustRightInd/>
              <w:snapToGrid/>
              <w:spacing w:line="400" w:lineRule="exact"/>
              <w:jc w:val="center"/>
              <w:textAlignment w:val="center"/>
              <w:rPr>
                <w:rFonts w:hint="default" w:ascii="Times New Roman" w:hAnsi="Times New Roman" w:eastAsia="仿宋" w:cs="Times New Roman"/>
                <w:bCs/>
                <w:kern w:val="0"/>
                <w:sz w:val="24"/>
                <w:lang w:val="en-GB"/>
              </w:rPr>
            </w:pPr>
            <w:r>
              <w:rPr>
                <w:rFonts w:hint="default" w:ascii="Times New Roman" w:hAnsi="Times New Roman" w:eastAsia="仿宋" w:cs="Times New Roman"/>
                <w:bCs/>
                <w:kern w:val="0"/>
                <w:sz w:val="24"/>
                <w:lang w:val="en-GB"/>
              </w:rPr>
              <w:t>集成光频梳激光雷达技术探索</w:t>
            </w:r>
          </w:p>
        </w:tc>
        <w:tc>
          <w:tcPr>
            <w:tcW w:w="2366" w:type="dxa"/>
            <w:vAlign w:val="center"/>
          </w:tcPr>
          <w:p>
            <w:pPr>
              <w:widowControl/>
              <w:adjustRightInd w:val="0"/>
              <w:snapToGrid w:val="0"/>
              <w:jc w:val="center"/>
              <w:rPr>
                <w:rFonts w:hint="default" w:ascii="Times New Roman" w:hAnsi="Times New Roman" w:eastAsia="仿宋" w:cs="Times New Roman"/>
                <w:bCs/>
                <w:kern w:val="0"/>
                <w:sz w:val="24"/>
                <w:lang w:val="en-GB"/>
              </w:rPr>
            </w:pPr>
            <w:r>
              <w:rPr>
                <w:rFonts w:hint="default" w:ascii="Times New Roman" w:hAnsi="Times New Roman" w:eastAsia="仿宋" w:cs="Times New Roman"/>
                <w:bCs/>
                <w:kern w:val="0"/>
                <w:sz w:val="24"/>
                <w:lang w:val="en-GB"/>
              </w:rPr>
              <w:t>北京遥测技术研究所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bCs/>
                <w:kern w:val="0"/>
                <w:sz w:val="24"/>
                <w:lang w:val="en-GB"/>
              </w:rPr>
            </w:pPr>
            <w:r>
              <w:rPr>
                <w:rFonts w:hint="default" w:ascii="Times New Roman" w:hAnsi="Times New Roman" w:eastAsia="仿宋_GB2312" w:cs="Times New Roman"/>
                <w:kern w:val="0"/>
                <w:sz w:val="24"/>
                <w:lang w:val="en-GB"/>
              </w:rPr>
              <w:t>3</w:t>
            </w:r>
          </w:p>
        </w:tc>
        <w:tc>
          <w:tcPr>
            <w:tcW w:w="6235" w:type="dxa"/>
            <w:vAlign w:val="center"/>
          </w:tcPr>
          <w:p>
            <w:pPr>
              <w:widowControl/>
              <w:adjustRightInd w:val="0"/>
              <w:snapToGrid w:val="0"/>
              <w:jc w:val="center"/>
              <w:rPr>
                <w:rFonts w:hint="default" w:ascii="Times New Roman" w:hAnsi="Times New Roman" w:eastAsia="仿宋" w:cs="Times New Roman"/>
                <w:bCs/>
                <w:kern w:val="0"/>
                <w:sz w:val="24"/>
                <w:lang w:val="en-GB"/>
              </w:rPr>
            </w:pPr>
            <w:r>
              <w:rPr>
                <w:rFonts w:hint="default" w:ascii="Times New Roman" w:hAnsi="Times New Roman" w:eastAsia="仿宋" w:cs="Times New Roman"/>
                <w:bCs/>
                <w:kern w:val="0"/>
                <w:sz w:val="24"/>
                <w:lang w:val="en-GB"/>
              </w:rPr>
              <w:t>基于生成式AI的金融量化投资与风险管理解决方案</w:t>
            </w:r>
          </w:p>
        </w:tc>
        <w:tc>
          <w:tcPr>
            <w:tcW w:w="2366" w:type="dxa"/>
            <w:vAlign w:val="center"/>
          </w:tcPr>
          <w:p>
            <w:pPr>
              <w:widowControl/>
              <w:adjustRightInd w:val="0"/>
              <w:snapToGrid w:val="0"/>
              <w:jc w:val="center"/>
              <w:rPr>
                <w:rFonts w:hint="default" w:ascii="Times New Roman" w:hAnsi="Times New Roman" w:eastAsia="仿宋" w:cs="Times New Roman"/>
                <w:bCs/>
                <w:kern w:val="0"/>
                <w:sz w:val="24"/>
                <w:lang w:val="en-GB"/>
              </w:rPr>
            </w:pPr>
            <w:r>
              <w:rPr>
                <w:rFonts w:hint="default" w:ascii="Times New Roman" w:hAnsi="Times New Roman" w:eastAsia="仿宋" w:cs="Times New Roman"/>
                <w:bCs/>
                <w:kern w:val="0"/>
                <w:sz w:val="24"/>
                <w:lang w:val="en-GB"/>
              </w:rPr>
              <w:t>中关村互联网金融研究院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kern w:val="0"/>
                <w:sz w:val="24"/>
                <w:lang w:val="en-GB"/>
              </w:rPr>
            </w:pPr>
            <w:r>
              <w:rPr>
                <w:rFonts w:hint="default" w:ascii="Times New Roman" w:hAnsi="Times New Roman" w:eastAsia="仿宋_GB2312" w:cs="Times New Roman"/>
                <w:kern w:val="0"/>
                <w:sz w:val="24"/>
                <w:lang w:val="en-GB"/>
              </w:rPr>
              <w:t>4</w:t>
            </w:r>
          </w:p>
        </w:tc>
        <w:tc>
          <w:tcPr>
            <w:tcW w:w="6235"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AI大模型车载数字人助理</w:t>
            </w:r>
          </w:p>
        </w:tc>
        <w:tc>
          <w:tcPr>
            <w:tcW w:w="2366"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北京汽车集团有限公司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kern w:val="0"/>
                <w:sz w:val="24"/>
                <w:lang w:val="en-GB"/>
              </w:rPr>
            </w:pPr>
            <w:r>
              <w:rPr>
                <w:rFonts w:hint="default" w:ascii="Times New Roman" w:hAnsi="Times New Roman" w:eastAsia="仿宋_GB2312" w:cs="Times New Roman"/>
                <w:color w:val="000000"/>
                <w:kern w:val="0"/>
                <w:sz w:val="24"/>
                <w:lang w:val="en-GB"/>
              </w:rPr>
              <w:t>5</w:t>
            </w:r>
          </w:p>
        </w:tc>
        <w:tc>
          <w:tcPr>
            <w:tcW w:w="6235"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完全重复使用航班化航天运输系统概念设计</w:t>
            </w:r>
          </w:p>
        </w:tc>
        <w:tc>
          <w:tcPr>
            <w:tcW w:w="2366"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北京星河动力航天科技股份有限公司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bCs/>
                <w:kern w:val="0"/>
                <w:sz w:val="24"/>
                <w:lang w:val="en-GB"/>
              </w:rPr>
            </w:pPr>
            <w:r>
              <w:rPr>
                <w:rFonts w:hint="default" w:ascii="Times New Roman" w:hAnsi="Times New Roman" w:eastAsia="仿宋_GB2312" w:cs="Times New Roman"/>
                <w:bCs/>
                <w:kern w:val="0"/>
                <w:sz w:val="24"/>
                <w:lang w:val="en-GB"/>
              </w:rPr>
              <w:t>6</w:t>
            </w:r>
          </w:p>
        </w:tc>
        <w:tc>
          <w:tcPr>
            <w:tcW w:w="6235"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鸿蒙原生应用静态代码分析框架</w:t>
            </w:r>
          </w:p>
        </w:tc>
        <w:tc>
          <w:tcPr>
            <w:tcW w:w="2366"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华为技术有限公司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kern w:val="0"/>
                <w:sz w:val="24"/>
                <w:lang w:val="en-GB"/>
              </w:rPr>
            </w:pPr>
            <w:r>
              <w:rPr>
                <w:rFonts w:hint="default" w:ascii="Times New Roman" w:hAnsi="Times New Roman" w:eastAsia="仿宋_GB2312" w:cs="Times New Roman"/>
                <w:bCs/>
                <w:kern w:val="0"/>
                <w:sz w:val="24"/>
                <w:lang w:val="en-GB"/>
              </w:rPr>
              <w:t>7</w:t>
            </w:r>
          </w:p>
        </w:tc>
        <w:tc>
          <w:tcPr>
            <w:tcW w:w="6235"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基于AI大模型的PET图像智能诊断一体化解决方案</w:t>
            </w:r>
          </w:p>
        </w:tc>
        <w:tc>
          <w:tcPr>
            <w:tcW w:w="2366"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赛诺联合医疗科技（北京）有限公司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bCs/>
                <w:kern w:val="0"/>
                <w:sz w:val="24"/>
                <w:lang w:val="en-US"/>
              </w:rPr>
            </w:pPr>
            <w:r>
              <w:rPr>
                <w:rFonts w:hint="default" w:ascii="Times New Roman" w:hAnsi="Times New Roman" w:eastAsia="仿宋_GB2312" w:cs="Times New Roman"/>
                <w:bCs/>
                <w:kern w:val="0"/>
                <w:sz w:val="24"/>
                <w:lang w:val="en-US"/>
              </w:rPr>
              <w:t>8</w:t>
            </w:r>
          </w:p>
        </w:tc>
        <w:tc>
          <w:tcPr>
            <w:tcW w:w="6235"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右心室流出道流场构型对复杂先心病治疗植入器械的影响评估</w:t>
            </w:r>
          </w:p>
        </w:tc>
        <w:tc>
          <w:tcPr>
            <w:tcW w:w="2366"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北京佰仁医疗科技股份有限公司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bCs/>
                <w:kern w:val="0"/>
                <w:sz w:val="24"/>
                <w:lang w:val="en-US"/>
              </w:rPr>
            </w:pPr>
            <w:r>
              <w:rPr>
                <w:rFonts w:hint="default" w:ascii="Times New Roman" w:hAnsi="Times New Roman" w:eastAsia="仿宋_GB2312" w:cs="Times New Roman"/>
                <w:bCs/>
                <w:kern w:val="0"/>
                <w:sz w:val="24"/>
                <w:lang w:val="en-US"/>
              </w:rPr>
              <w:t>9</w:t>
            </w:r>
          </w:p>
        </w:tc>
        <w:tc>
          <w:tcPr>
            <w:tcW w:w="6235"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基于区块链技术的绿色能源金属来源的可追溯与认证机制</w:t>
            </w:r>
          </w:p>
        </w:tc>
        <w:tc>
          <w:tcPr>
            <w:tcW w:w="2366"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九一金融信息服务</w:t>
            </w:r>
            <w:r>
              <w:rPr>
                <w:rFonts w:hint="eastAsia" w:eastAsia="仿宋" w:cs="Times New Roman"/>
                <w:kern w:val="0"/>
                <w:sz w:val="24"/>
                <w:lang w:val="en-GB" w:eastAsia="zh-CN"/>
              </w:rPr>
              <w:t>（</w:t>
            </w:r>
            <w:r>
              <w:rPr>
                <w:rFonts w:hint="default" w:ascii="Times New Roman" w:hAnsi="Times New Roman" w:eastAsia="仿宋" w:cs="Times New Roman"/>
                <w:kern w:val="0"/>
                <w:sz w:val="24"/>
                <w:lang w:val="en-GB"/>
              </w:rPr>
              <w:t>北京</w:t>
            </w:r>
            <w:r>
              <w:rPr>
                <w:rFonts w:hint="eastAsia" w:eastAsia="仿宋" w:cs="Times New Roman"/>
                <w:kern w:val="0"/>
                <w:sz w:val="24"/>
                <w:lang w:val="en-GB" w:eastAsia="zh-CN"/>
              </w:rPr>
              <w:t>）</w:t>
            </w:r>
            <w:r>
              <w:rPr>
                <w:rFonts w:hint="default" w:ascii="Times New Roman" w:hAnsi="Times New Roman" w:eastAsia="仿宋" w:cs="Times New Roman"/>
                <w:kern w:val="0"/>
                <w:sz w:val="24"/>
                <w:lang w:val="en-GB"/>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bCs/>
                <w:kern w:val="0"/>
                <w:sz w:val="24"/>
                <w:lang w:val="en-US"/>
              </w:rPr>
            </w:pPr>
            <w:r>
              <w:rPr>
                <w:rFonts w:hint="default" w:ascii="Times New Roman" w:hAnsi="Times New Roman" w:eastAsia="仿宋_GB2312" w:cs="Times New Roman"/>
                <w:bCs/>
                <w:kern w:val="0"/>
                <w:sz w:val="24"/>
                <w:lang w:val="en-US"/>
              </w:rPr>
              <w:t>10</w:t>
            </w:r>
          </w:p>
        </w:tc>
        <w:tc>
          <w:tcPr>
            <w:tcW w:w="6235"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基于大语言模型（LLM）与生成式人工智能的企业绿色专利技术支持系统</w:t>
            </w:r>
          </w:p>
        </w:tc>
        <w:tc>
          <w:tcPr>
            <w:tcW w:w="2366"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北京吉比信科技有限公司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bCs/>
                <w:kern w:val="0"/>
                <w:sz w:val="24"/>
                <w:lang w:val="en-US"/>
              </w:rPr>
            </w:pPr>
            <w:r>
              <w:rPr>
                <w:rFonts w:hint="default" w:ascii="Times New Roman" w:hAnsi="Times New Roman" w:eastAsia="仿宋_GB2312" w:cs="Times New Roman"/>
                <w:bCs/>
                <w:kern w:val="0"/>
                <w:sz w:val="24"/>
                <w:lang w:val="en-US"/>
              </w:rPr>
              <w:t>11</w:t>
            </w:r>
          </w:p>
        </w:tc>
        <w:tc>
          <w:tcPr>
            <w:tcW w:w="6235"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智能网联汽车安全监测与防护系统</w:t>
            </w:r>
          </w:p>
        </w:tc>
        <w:tc>
          <w:tcPr>
            <w:tcW w:w="2366"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国汽（北京）智能网联汽车研究院有限公司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033" w:type="dxa"/>
            <w:vAlign w:val="center"/>
          </w:tcPr>
          <w:p>
            <w:pPr>
              <w:widowControl/>
              <w:adjustRightInd w:val="0"/>
              <w:snapToGrid w:val="0"/>
              <w:spacing w:line="560" w:lineRule="exact"/>
              <w:jc w:val="center"/>
              <w:rPr>
                <w:rFonts w:hint="default" w:ascii="Times New Roman" w:hAnsi="Times New Roman" w:eastAsia="仿宋_GB2312" w:cs="Times New Roman"/>
                <w:bCs/>
                <w:kern w:val="0"/>
                <w:sz w:val="24"/>
                <w:lang w:val="en-US"/>
              </w:rPr>
            </w:pPr>
            <w:r>
              <w:rPr>
                <w:rFonts w:hint="default" w:ascii="Times New Roman" w:hAnsi="Times New Roman" w:eastAsia="仿宋_GB2312" w:cs="Times New Roman"/>
                <w:bCs/>
                <w:kern w:val="0"/>
                <w:sz w:val="24"/>
                <w:lang w:val="en-US"/>
              </w:rPr>
              <w:t>12</w:t>
            </w:r>
          </w:p>
        </w:tc>
        <w:tc>
          <w:tcPr>
            <w:tcW w:w="6235"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基于高通量测序和特征基因表达谱的重症传染病中药筛选与分析</w:t>
            </w:r>
          </w:p>
        </w:tc>
        <w:tc>
          <w:tcPr>
            <w:tcW w:w="2366" w:type="dxa"/>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百洋医药集团有限公司</w:t>
            </w:r>
          </w:p>
        </w:tc>
      </w:tr>
    </w:tbl>
    <w:p>
      <w:pPr>
        <w:widowControl/>
        <w:adjustRightInd w:val="0"/>
        <w:snapToGrid w:val="0"/>
        <w:jc w:val="center"/>
        <w:rPr>
          <w:rFonts w:hint="default" w:ascii="Times New Roman" w:hAnsi="Times New Roman" w:eastAsia="仿宋" w:cs="Times New Roman"/>
          <w:kern w:val="0"/>
          <w:sz w:val="32"/>
          <w:szCs w:val="32"/>
          <w:lang w:val="en-US"/>
        </w:rPr>
      </w:pPr>
      <w:r>
        <w:rPr>
          <w:rFonts w:hint="default" w:ascii="Times New Roman" w:hAnsi="Times New Roman" w:eastAsia="仿宋" w:cs="Times New Roman"/>
          <w:kern w:val="0"/>
          <w:sz w:val="24"/>
          <w:lang w:val="en-US"/>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-01</w:t>
      </w:r>
    </w:p>
    <w:p>
      <w:pPr>
        <w:widowControl/>
        <w:adjustRightInd w:val="0"/>
        <w:snapToGrid w:val="0"/>
        <w:jc w:val="both"/>
        <w:rPr>
          <w:rFonts w:hint="default" w:ascii="Times New Roman" w:hAnsi="Times New Roman" w:eastAsia="方正黑体简体" w:cs="Times New Roman"/>
          <w:kern w:val="0"/>
          <w:sz w:val="24"/>
          <w:lang w:val="en-GB"/>
        </w:rPr>
      </w:pPr>
    </w:p>
    <w:p>
      <w:pPr>
        <w:widowControl/>
        <w:tabs>
          <w:tab w:val="left" w:pos="8640"/>
        </w:tabs>
        <w:adjustRightInd w:val="0"/>
        <w:snapToGrid w:val="0"/>
        <w:spacing w:line="560" w:lineRule="exact"/>
        <w:ind w:firstLine="332" w:firstLineChars="100"/>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97"/>
        <w:gridCol w:w="1652"/>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 xml:space="preserve">北京通用人工智能研究院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民办非企业单位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北京市海淀区颐和园路2号未来科技大厦东裙楼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北京通用人工智能研究院（Beijing Institute for General Artificial Intelligence，简称BIGAI）是在北京市委市政府的指导和支持下，由北京市科委推动成立的非营利性世界一流新型研发机构。在北京市、科技部、教育部共同扶持下，与北京大学、清华大学等优势单位开展广泛合作，共同致力于在通用人工智能领域开展战略性、前瞻性、基础性科技创新，聚力打造具备人类核心认知能力的通用智能体，是建设北京国际科创中心的一支重要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联系人</w:t>
            </w:r>
          </w:p>
        </w:tc>
        <w:tc>
          <w:tcPr>
            <w:tcW w:w="2497" w:type="dxa"/>
            <w:vAlign w:val="center"/>
          </w:tcPr>
          <w:p>
            <w:pPr>
              <w:widowControl/>
              <w:adjustRightInd w:val="0"/>
              <w:snapToGrid w:val="0"/>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kern w:val="0"/>
                <w:sz w:val="24"/>
                <w:lang w:val="en-US"/>
              </w:rPr>
              <w:t>刘老师</w:t>
            </w:r>
          </w:p>
        </w:tc>
        <w:tc>
          <w:tcPr>
            <w:tcW w:w="1652"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napToGrid w:val="0"/>
              <w:jc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kern w:val="0"/>
                <w:sz w:val="24"/>
                <w:lang w:val="en-US"/>
              </w:rPr>
              <w:t>16600031170</w:t>
            </w:r>
          </w:p>
        </w:tc>
      </w:tr>
    </w:tbl>
    <w:p>
      <w:pPr>
        <w:widowControl/>
        <w:adjustRightInd w:val="0"/>
        <w:snapToGrid w:val="0"/>
        <w:jc w:val="left"/>
        <w:rPr>
          <w:rFonts w:hint="default" w:ascii="Times New Roman" w:hAnsi="Times New Roman" w:eastAsia="黑体" w:cs="Times New Roman"/>
          <w:kern w:val="0"/>
          <w:sz w:val="32"/>
          <w:szCs w:val="32"/>
          <w:lang w:val="en-GB"/>
        </w:rPr>
      </w:pPr>
    </w:p>
    <w:p>
      <w:pPr>
        <w:widowControl/>
        <w:tabs>
          <w:tab w:val="left" w:pos="8640"/>
        </w:tabs>
        <w:adjustRightInd w:val="0"/>
        <w:snapToGrid w:val="0"/>
        <w:spacing w:line="560" w:lineRule="exact"/>
        <w:ind w:firstLine="332" w:firstLineChars="100"/>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napToGrid/>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三维世界通用具身智能体的应用探索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napToGrid/>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人工智能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近日北京通用人工智能研究院提出了首个精通3D任务的具身智能体LEO（https://embodied-generalist.github.io/）。智能体LEO（狮子座）以大语言模型为基础，具备强大的三维场景感知能力，以及优异的视觉</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语言</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动作能力，可以完成感知、定位、推理、规划和动作执行等具身任务，为家庭陪伴机器人、家政服务机器人等新兴产业提供了智能算法基础。本课题诚邀优秀学子以具身智能体LEO为基础，设计、开发其实际落地的应用，挖掘具身智能的产业潜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机器人走进千家万户、提高百姓生活质量是科技从业者长久以来的梦想，而实现这一梦想的主要瓶颈之一在于家庭场景纷乱复杂，</w:t>
            </w:r>
            <w:r>
              <w:rPr>
                <w:rFonts w:hint="eastAsia" w:eastAsia="仿宋" w:cs="Times New Roman"/>
                <w:kern w:val="0"/>
                <w:sz w:val="24"/>
                <w:lang w:val="en-US" w:eastAsia="zh-CN"/>
              </w:rPr>
              <w:t>涉及的</w:t>
            </w:r>
            <w:r>
              <w:rPr>
                <w:rFonts w:hint="default" w:ascii="Times New Roman" w:hAnsi="Times New Roman" w:eastAsia="仿宋" w:cs="Times New Roman"/>
                <w:kern w:val="0"/>
                <w:sz w:val="24"/>
                <w:lang w:val="en-US"/>
              </w:rPr>
              <w:t>识别、检测、描述、定位、操作等任务难度极大。具身智能体LEO在这些难题上已经取得了重要的突破，有了一些实际应用的潜力。我们预期学生提交的作品可以初步实现一个能够理解真实场景的智能产品，并能在专项赛结束后进一步发展成为能够切实提高百姓生活质量、具有实际商业价值的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学生提交的作品内容应为基于具身智能体LEO设计开发的应用程序，其具体呈现形式包括但不限于智能手机应用、计算机应用程序、微信小程序、机器人等。对于特别复杂的设计，可以仅实现其核心功能并辅以其余功能的设计和论证文档。我们将根据提交作品的完整性、新颖性、实用性、商业价值四个维度对参选作品评奖。</w:t>
            </w:r>
          </w:p>
        </w:tc>
      </w:tr>
    </w:tbl>
    <w:p>
      <w:pPr>
        <w:widowControl/>
        <w:adjustRightInd w:val="0"/>
        <w:snapToGrid w:val="0"/>
        <w:jc w:val="left"/>
        <w:rPr>
          <w:rFonts w:hint="default" w:ascii="Times New Roman" w:hAnsi="Times New Roman" w:eastAsia="黑体" w:cs="Times New Roman"/>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通研院将为参赛团队提供相关的研究资料、LEO的模型参数及样例程序代码，并组织一次两小时的线上集中答疑。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优秀获奖团队成员将获得通研院实习及就业的优先推荐机会。</w:t>
            </w:r>
          </w:p>
        </w:tc>
      </w:tr>
    </w:tbl>
    <w:p>
      <w:pPr>
        <w:widowControl/>
        <w:adjustRightInd w:val="0"/>
        <w:snapToGrid w:val="0"/>
        <w:jc w:val="both"/>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-02</w:t>
      </w:r>
    </w:p>
    <w:p>
      <w:pPr>
        <w:widowControl/>
        <w:adjustRightInd w:val="0"/>
        <w:snapToGrid w:val="0"/>
        <w:jc w:val="both"/>
        <w:rPr>
          <w:rFonts w:hint="default" w:ascii="Times New Roman" w:hAnsi="Times New Roman" w:eastAsia="方正黑体简体" w:cs="Times New Roman"/>
          <w:kern w:val="0"/>
          <w:sz w:val="24"/>
          <w:lang w:val="en-GB"/>
        </w:rPr>
      </w:pPr>
    </w:p>
    <w:p>
      <w:pPr>
        <w:widowControl/>
        <w:adjustRightInd w:val="0"/>
        <w:snapToGrid w:val="0"/>
        <w:jc w:val="center"/>
        <w:rPr>
          <w:rFonts w:hint="default" w:ascii="Times New Roman" w:hAnsi="Times New Roman" w:eastAsia="Times New Roman" w:cs="Times New Roman"/>
          <w:kern w:val="0"/>
          <w:sz w:val="24"/>
          <w:lang w:val="en-GB"/>
        </w:rPr>
      </w:pPr>
    </w:p>
    <w:p>
      <w:pPr>
        <w:widowControl/>
        <w:tabs>
          <w:tab w:val="left" w:pos="8640"/>
        </w:tabs>
        <w:adjustRightInd w:val="0"/>
        <w:snapToGrid w:val="0"/>
        <w:spacing w:line="560" w:lineRule="exact"/>
        <w:ind w:firstLine="332" w:firstLineChars="100"/>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17"/>
        <w:gridCol w:w="1532"/>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北京遥测技术研究所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科研机构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北京市海淀区丰滢东路1号院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北京遥测技术研究所创建于1957年，是新中国首批建立的航天电子信息技术专业研究所。历经六十余年发展，已从最初的单一遥测技术研究所，成长为多专业融合的航天电子信息系统大所。</w:t>
            </w:r>
          </w:p>
          <w:p>
            <w:pPr>
              <w:widowControl/>
              <w:adjustRightInd w:val="0"/>
              <w:snapToGrid w:val="0"/>
              <w:spacing w:line="400" w:lineRule="exact"/>
              <w:ind w:firstLine="480" w:firstLineChars="200"/>
              <w:jc w:val="left"/>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kern w:val="0"/>
                <w:sz w:val="24"/>
                <w:lang w:val="en-US"/>
              </w:rPr>
              <w:t>北京遥测技术研究所以人才为第一资源，不断夯实组织保障能力，形成了由3个技术研发中心、5个事业部、4个直属研究室、1个制造中心、2个产业化子公司构成的技术研究与产品研制组织体系。拥有在职员工2500余人，在聘院士3人，高级职称科技人员600余人，享受政府特殊津贴40余人，集团公司学术技术带头人40余人，航天各专业领域专家组成员超百人，获得全国技术能手、省部级及以上特殊荣誉的技能人才50余人，为北京遥测技术研究所高质量发展提供了强有力的组织与人力资源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联系人</w:t>
            </w:r>
          </w:p>
        </w:tc>
        <w:tc>
          <w:tcPr>
            <w:tcW w:w="2617" w:type="dxa"/>
            <w:vAlign w:val="center"/>
          </w:tcPr>
          <w:p>
            <w:pPr>
              <w:widowControl/>
              <w:adjustRightInd w:val="0"/>
              <w:snapToGrid w:val="0"/>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林老师</w:t>
            </w:r>
          </w:p>
          <w:p>
            <w:pPr>
              <w:widowControl/>
              <w:adjustRightInd w:val="0"/>
              <w:snapToGrid w:val="0"/>
              <w:jc w:val="center"/>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kern w:val="0"/>
                <w:sz w:val="24"/>
                <w:lang w:val="en-US"/>
              </w:rPr>
              <w:t>李老师</w:t>
            </w:r>
          </w:p>
        </w:tc>
        <w:tc>
          <w:tcPr>
            <w:tcW w:w="1532"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napToGrid w:val="0"/>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010-68382308</w:t>
            </w:r>
          </w:p>
          <w:p>
            <w:pPr>
              <w:widowControl/>
              <w:adjustRightInd w:val="0"/>
              <w:snapToGrid w:val="0"/>
              <w:jc w:val="center"/>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kern w:val="0"/>
                <w:sz w:val="24"/>
                <w:lang w:val="en-US"/>
              </w:rPr>
              <w:t>010-88105688</w:t>
            </w:r>
          </w:p>
        </w:tc>
      </w:tr>
    </w:tbl>
    <w:p>
      <w:pPr>
        <w:widowControl/>
        <w:tabs>
          <w:tab w:val="left" w:pos="8640"/>
        </w:tabs>
        <w:adjustRightInd w:val="0"/>
        <w:snapToGrid w:val="0"/>
        <w:spacing w:line="560" w:lineRule="exact"/>
        <w:jc w:val="center"/>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ind w:firstLine="332" w:firstLineChars="100"/>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napToGrid/>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集成光频梳激光雷达技术探索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napToGrid/>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科学仪器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激光雷达作为信息科技产业前沿方向的核心技术，已成为人们获取位置速度信息、感知环境状态的重要手段，在主动遥感探测、大气监测、自动驾驶及虚拟现实等领域有着广泛应用。目前基于集成光频梳技术的集成光子学激光雷达采用高度集成的片上光源、光波导器件和信息采集处理单元已实现近距离高分辨率并行激光探测，具备广泛应用潜力。</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集成光频梳技术通过光波导的微腔结构对输入的连续光和脉冲光等进行调制，调控腔内状态谐振产生高相干频域梳状脉冲。集成光频梳技术及其激光雷达应用交叉融合光电子、材料、集成电路等学科知识，发展至今仍有许多有趣的探索方向。一是探索适于激光雷达应用的集成光频梳材料平台。硅、氮化硅、铌酸锂等不同材料平台已展现出各异的表现，兼具产生大能量脉冲和具备高速调制能力的材料平台有待研究。二是探索适于特定应用领域的集成光频梳激光雷达技术架构。针对激光雷达主动遥感探测的国家重大需求，进行研究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1.推进激光雷达技术集成化、小型化发展，</w:t>
            </w:r>
            <w:r>
              <w:rPr>
                <w:rFonts w:hint="eastAsia" w:eastAsia="仿宋" w:cs="Times New Roman"/>
                <w:kern w:val="0"/>
                <w:sz w:val="24"/>
                <w:lang w:val="en-US" w:eastAsia="zh-CN"/>
              </w:rPr>
              <w:t>更好地服务</w:t>
            </w:r>
            <w:r>
              <w:rPr>
                <w:rFonts w:hint="default" w:ascii="Times New Roman" w:hAnsi="Times New Roman" w:eastAsia="仿宋" w:cs="Times New Roman"/>
                <w:kern w:val="0"/>
                <w:sz w:val="24"/>
                <w:lang w:val="en-US"/>
              </w:rPr>
              <w:t>国家主动遥感探测的重大需求</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2.紧扣激光雷达技术学术创新和工程应用交汇点，促进产教融合发展</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3.带动硅光子学等集成光电子器件产业发展，响应北京市“十四五”时期高精尖产业发展规划前沿布局要求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 评选标准</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创新性：作品在解决选题时的独特性和创造性。</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实用性：作品的实际应用价值和解决现实问题的能力。</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可行性：作品的可行性，包括技术可行性、实施计划的合理性等。</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逻辑性：作品解决方案应逻辑清晰、表达明确。</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规范性：作品解决方案应符合基本学术规范要求。</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团队性：参赛团队成员之间的协作能力。</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 作品提报要求</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形式：科技学术论文或研究报告，以word版和PPT版呈现。</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要求：应包含题目（结合选题和项目自身特点另拟）、团队简介（含成员介绍及分工等）、研究背景、研究内容、技术路线、创新优势、下一步展望以及成果总结等部分。论文报告字数限制在15000字以内。PPT页数不超过40页。</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 优劣标准</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优秀作品：拥有独特的创意和解决方案，实用性强，技术水平高，论证清晰，团队协作密切。</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良好作品：能够解决选定问题，表达清晰，有一定创新点，可行性较高，团队协作较好。</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待提升作品：存在一些问题，解决方案尚不够完善，表达和论证需要加强，技术实现有待改进，团队协作欠佳。</w:t>
            </w:r>
          </w:p>
        </w:tc>
      </w:tr>
    </w:tbl>
    <w:p>
      <w:pPr>
        <w:widowControl/>
        <w:tabs>
          <w:tab w:val="left" w:pos="8640"/>
        </w:tabs>
        <w:adjustRightInd w:val="0"/>
        <w:snapToGrid w:val="0"/>
        <w:spacing w:line="440" w:lineRule="exact"/>
        <w:jc w:val="both"/>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单位将提供研究相关研究资料材料，确保参赛者充分掌握研究背景、需求和应用情况。可为参赛团队成员提供线上答疑解惑。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所有获奖者均可参加本单位实习实践，优先录用并享受人才引进政策相关待遇。</w:t>
            </w:r>
          </w:p>
        </w:tc>
      </w:tr>
    </w:tbl>
    <w:p>
      <w:pPr>
        <w:widowControl/>
        <w:adjustRightInd w:val="0"/>
        <w:snapToGrid w:val="0"/>
        <w:jc w:val="center"/>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-03</w:t>
      </w:r>
    </w:p>
    <w:p>
      <w:pPr>
        <w:widowControl/>
        <w:adjustRightInd w:val="0"/>
        <w:snapToGrid w:val="0"/>
        <w:spacing w:line="368" w:lineRule="auto"/>
        <w:jc w:val="both"/>
        <w:rPr>
          <w:rFonts w:hint="default" w:ascii="Times New Roman" w:hAnsi="Times New Roman" w:eastAsia="Times New Roman" w:cs="Times New Roman"/>
          <w:kern w:val="0"/>
          <w:sz w:val="24"/>
          <w:lang w:val="en-GB"/>
        </w:rPr>
      </w:pPr>
    </w:p>
    <w:p>
      <w:pPr>
        <w:widowControl/>
        <w:tabs>
          <w:tab w:val="left" w:pos="8640"/>
        </w:tabs>
        <w:adjustRightInd w:val="0"/>
        <w:snapToGrid w:val="0"/>
        <w:spacing w:line="560" w:lineRule="exact"/>
        <w:ind w:firstLine="332" w:firstLineChars="100"/>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12"/>
        <w:tblW w:w="8486" w:type="dxa"/>
        <w:tblInd w:w="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2"/>
        <w:gridCol w:w="2418"/>
        <w:gridCol w:w="1574"/>
        <w:gridCol w:w="3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trPr>
        <w:tc>
          <w:tcPr>
            <w:tcW w:w="1452" w:type="dxa"/>
          </w:tcPr>
          <w:p>
            <w:pPr>
              <w:adjustRightInd w:val="0"/>
              <w:snapToGrid w:val="0"/>
              <w:spacing w:before="195" w:line="220" w:lineRule="auto"/>
              <w:ind w:left="95"/>
              <w:jc w:val="center"/>
              <w:rPr>
                <w:rFonts w:hint="default" w:ascii="Times New Roman" w:hAnsi="Times New Roman" w:eastAsia="楷体" w:cs="Times New Roman"/>
                <w:sz w:val="28"/>
                <w:szCs w:val="32"/>
                <w:lang w:val="en-GB" w:eastAsia="zh-CN" w:bidi="ar-SA"/>
              </w:rPr>
            </w:pPr>
            <w:r>
              <w:rPr>
                <w:rFonts w:hint="default" w:ascii="Times New Roman" w:hAnsi="Times New Roman" w:eastAsia="楷体" w:cs="Times New Roman"/>
                <w:sz w:val="28"/>
                <w:szCs w:val="32"/>
                <w:lang w:val="en-GB" w:eastAsia="zh-CN" w:bidi="ar-SA"/>
              </w:rPr>
              <w:t>单位名称</w:t>
            </w:r>
          </w:p>
        </w:tc>
        <w:tc>
          <w:tcPr>
            <w:tcW w:w="7034" w:type="dxa"/>
            <w:gridSpan w:val="3"/>
          </w:tcPr>
          <w:p>
            <w:pPr>
              <w:adjustRightInd w:val="0"/>
              <w:snapToGrid w:val="0"/>
              <w:spacing w:before="193" w:line="219" w:lineRule="auto"/>
              <w:jc w:val="center"/>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中关村互联网金融研究院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trPr>
        <w:tc>
          <w:tcPr>
            <w:tcW w:w="1452" w:type="dxa"/>
          </w:tcPr>
          <w:p>
            <w:pPr>
              <w:adjustRightInd w:val="0"/>
              <w:snapToGrid w:val="0"/>
              <w:spacing w:before="170" w:line="219" w:lineRule="auto"/>
              <w:ind w:left="95"/>
              <w:jc w:val="center"/>
              <w:rPr>
                <w:rFonts w:hint="default" w:ascii="Times New Roman" w:hAnsi="Times New Roman" w:eastAsia="楷体" w:cs="Times New Roman"/>
                <w:sz w:val="28"/>
                <w:szCs w:val="32"/>
                <w:lang w:val="en-GB" w:eastAsia="zh-CN" w:bidi="ar-SA"/>
              </w:rPr>
            </w:pPr>
            <w:r>
              <w:rPr>
                <w:rFonts w:hint="default" w:ascii="Times New Roman" w:hAnsi="Times New Roman" w:eastAsia="楷体" w:cs="Times New Roman"/>
                <w:sz w:val="28"/>
                <w:szCs w:val="32"/>
                <w:lang w:val="en-GB" w:eastAsia="zh-CN" w:bidi="ar-SA"/>
              </w:rPr>
              <w:t>单位类型</w:t>
            </w:r>
          </w:p>
        </w:tc>
        <w:tc>
          <w:tcPr>
            <w:tcW w:w="7034" w:type="dxa"/>
            <w:gridSpan w:val="3"/>
          </w:tcPr>
          <w:p>
            <w:pPr>
              <w:adjustRightInd w:val="0"/>
              <w:snapToGrid w:val="0"/>
              <w:spacing w:before="168" w:line="219" w:lineRule="auto"/>
              <w:jc w:val="center"/>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社会组织</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民办非企业</w:t>
            </w:r>
            <w:r>
              <w:rPr>
                <w:rFonts w:hint="eastAsia" w:eastAsia="仿宋" w:cs="Times New Roman"/>
                <w:sz w:val="24"/>
                <w:szCs w:val="24"/>
                <w:lang w:val="en-GB"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1452" w:type="dxa"/>
          </w:tcPr>
          <w:p>
            <w:pPr>
              <w:adjustRightInd w:val="0"/>
              <w:snapToGrid w:val="0"/>
              <w:spacing w:before="212" w:line="229" w:lineRule="auto"/>
              <w:ind w:left="95"/>
              <w:jc w:val="center"/>
              <w:rPr>
                <w:rFonts w:hint="default" w:ascii="Times New Roman" w:hAnsi="Times New Roman" w:eastAsia="楷体" w:cs="Times New Roman"/>
                <w:sz w:val="28"/>
                <w:szCs w:val="32"/>
                <w:lang w:val="en-GB" w:eastAsia="zh-CN" w:bidi="ar-SA"/>
              </w:rPr>
            </w:pPr>
            <w:r>
              <w:rPr>
                <w:rFonts w:hint="default" w:ascii="Times New Roman" w:hAnsi="Times New Roman" w:eastAsia="楷体" w:cs="Times New Roman"/>
                <w:sz w:val="28"/>
                <w:szCs w:val="32"/>
                <w:lang w:val="en-GB" w:eastAsia="zh-CN" w:bidi="ar-SA"/>
              </w:rPr>
              <w:t>地址</w:t>
            </w:r>
          </w:p>
        </w:tc>
        <w:tc>
          <w:tcPr>
            <w:tcW w:w="7034" w:type="dxa"/>
            <w:gridSpan w:val="3"/>
          </w:tcPr>
          <w:p>
            <w:pPr>
              <w:adjustRightInd w:val="0"/>
              <w:snapToGrid w:val="0"/>
              <w:spacing w:before="201" w:line="219" w:lineRule="auto"/>
              <w:jc w:val="center"/>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北京市海淀区高梁桥斜街42号院1号楼4层1-405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3" w:hRule="atLeast"/>
        </w:trPr>
        <w:tc>
          <w:tcPr>
            <w:tcW w:w="1452" w:type="dxa"/>
          </w:tcPr>
          <w:p>
            <w:pPr>
              <w:widowControl/>
              <w:adjustRightInd w:val="0"/>
              <w:snapToGrid/>
              <w:spacing w:line="560" w:lineRule="exact"/>
              <w:jc w:val="center"/>
              <w:rPr>
                <w:rFonts w:hint="default" w:ascii="Times New Roman" w:hAnsi="Times New Roman" w:eastAsia="楷体" w:cs="Times New Roman"/>
                <w:kern w:val="0"/>
                <w:sz w:val="28"/>
                <w:szCs w:val="32"/>
                <w:lang w:val="en-GB"/>
              </w:rPr>
            </w:pPr>
          </w:p>
          <w:p>
            <w:pPr>
              <w:widowControl/>
              <w:adjustRightInd w:val="0"/>
              <w:snapToGrid/>
              <w:spacing w:line="560" w:lineRule="exact"/>
              <w:jc w:val="both"/>
              <w:rPr>
                <w:rFonts w:hint="default" w:ascii="Times New Roman" w:hAnsi="Times New Roman" w:eastAsia="楷体" w:cs="Times New Roman"/>
                <w:kern w:val="0"/>
                <w:sz w:val="28"/>
                <w:szCs w:val="32"/>
                <w:lang w:val="en-GB"/>
              </w:rPr>
            </w:pPr>
          </w:p>
          <w:p>
            <w:pPr>
              <w:widowControl/>
              <w:adjustRightInd w:val="0"/>
              <w:snapToGrid/>
              <w:spacing w:line="560" w:lineRule="exact"/>
              <w:jc w:val="center"/>
              <w:rPr>
                <w:rFonts w:hint="default" w:ascii="Times New Roman" w:hAnsi="Times New Roman" w:eastAsia="楷体" w:cs="Times New Roman"/>
                <w:kern w:val="0"/>
                <w:sz w:val="28"/>
                <w:szCs w:val="32"/>
                <w:lang w:val="en-GB"/>
              </w:rPr>
            </w:pPr>
          </w:p>
          <w:p>
            <w:pPr>
              <w:widowControl/>
              <w:adjustRightInd w:val="0"/>
              <w:snapToGrid/>
              <w:spacing w:line="560" w:lineRule="exact"/>
              <w:jc w:val="center"/>
              <w:rPr>
                <w:rFonts w:hint="default" w:ascii="Times New Roman" w:hAnsi="Times New Roman" w:eastAsia="楷体" w:cs="Times New Roman"/>
                <w:kern w:val="0"/>
                <w:sz w:val="28"/>
                <w:szCs w:val="32"/>
                <w:lang w:val="en-GB"/>
              </w:rPr>
            </w:pPr>
          </w:p>
          <w:p>
            <w:pPr>
              <w:widowControl/>
              <w:adjustRightInd w:val="0"/>
              <w:snapToGrid/>
              <w:spacing w:line="560" w:lineRule="exact"/>
              <w:jc w:val="center"/>
              <w:rPr>
                <w:rFonts w:hint="default" w:ascii="Times New Roman" w:hAnsi="Times New Roman" w:eastAsia="楷体" w:cs="Times New Roman"/>
                <w:kern w:val="0"/>
                <w:sz w:val="28"/>
                <w:szCs w:val="32"/>
                <w:lang w:val="en-GB"/>
              </w:rPr>
            </w:pPr>
          </w:p>
          <w:p>
            <w:pPr>
              <w:widowControl/>
              <w:adjustRightInd w:val="0"/>
              <w:snapToGrid/>
              <w:spacing w:line="560" w:lineRule="exact"/>
              <w:jc w:val="both"/>
              <w:rPr>
                <w:rFonts w:hint="default" w:ascii="Times New Roman" w:hAnsi="Times New Roman" w:eastAsia="楷体" w:cs="Times New Roman"/>
                <w:kern w:val="0"/>
                <w:sz w:val="28"/>
                <w:szCs w:val="32"/>
                <w:lang w:val="en-GB"/>
              </w:rPr>
            </w:pPr>
          </w:p>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单位简介</w:t>
            </w:r>
          </w:p>
        </w:tc>
        <w:tc>
          <w:tcPr>
            <w:tcW w:w="7034" w:type="dxa"/>
            <w:gridSpan w:val="3"/>
          </w:tcPr>
          <w:p>
            <w:pPr>
              <w:adjustRightInd w:val="0"/>
              <w:snapToGrid w:val="0"/>
              <w:spacing w:line="400" w:lineRule="exact"/>
              <w:ind w:left="122" w:right="392" w:firstLine="520"/>
              <w:jc w:val="left"/>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中关村互联网金融研究院是在北京市科委、中关村管委会、北 京市海淀区人民政府等政府部门指导下，于2014年5月经北京市民  政局核准成立，国内首家互联网金融、金融科技研究机构，2018年被评为“中国社会组织评估等级4A级”。</w:t>
            </w:r>
          </w:p>
          <w:p>
            <w:pPr>
              <w:adjustRightInd w:val="0"/>
              <w:snapToGrid w:val="0"/>
              <w:spacing w:line="400" w:lineRule="exact"/>
              <w:ind w:left="112" w:right="334" w:firstLine="510"/>
              <w:jc w:val="left"/>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秉承服务金融科技行业发展的宗旨，汇聚了国内金融科技资深 专家学者、前沿技术实践者，着力打造金融科技领域的研究咨询、 技术和场景对接、培训交流、投融资等综合服务平台，助力金融科技行业健康与可持续发展</w:t>
            </w:r>
            <w:r>
              <w:rPr>
                <w:rFonts w:hint="eastAsia" w:eastAsia="仿宋" w:cs="Times New Roman"/>
                <w:sz w:val="24"/>
                <w:szCs w:val="24"/>
                <w:lang w:val="en-US" w:eastAsia="zh-CN" w:bidi="ar-SA"/>
              </w:rPr>
              <w:t>！</w:t>
            </w:r>
          </w:p>
          <w:p>
            <w:pPr>
              <w:adjustRightInd w:val="0"/>
              <w:snapToGrid w:val="0"/>
              <w:spacing w:line="400" w:lineRule="exact"/>
              <w:ind w:left="632"/>
              <w:jc w:val="left"/>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先后承接全国政协、工信部、央行金融科技委员会、亚洲金融</w:t>
            </w:r>
          </w:p>
          <w:p>
            <w:pPr>
              <w:adjustRightInd w:val="0"/>
              <w:snapToGrid w:val="0"/>
              <w:spacing w:line="400" w:lineRule="exact"/>
              <w:ind w:left="122"/>
              <w:jc w:val="left"/>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合作协会、北京市金融局、北京市网信办、中关村管委会、海淀区</w:t>
            </w:r>
          </w:p>
          <w:p>
            <w:pPr>
              <w:adjustRightInd w:val="0"/>
              <w:snapToGrid w:val="0"/>
              <w:spacing w:line="400" w:lineRule="exact"/>
              <w:ind w:left="132"/>
              <w:jc w:val="left"/>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政府、石景山区政府、中国建设银行、中国移动金融科技公司等单</w:t>
            </w:r>
          </w:p>
          <w:p>
            <w:pPr>
              <w:adjustRightInd w:val="0"/>
              <w:snapToGrid w:val="0"/>
              <w:spacing w:line="400" w:lineRule="exact"/>
              <w:ind w:left="132"/>
              <w:jc w:val="left"/>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位委托，完成《海淀区建设具有全球影响力的金融科技创新中心五</w:t>
            </w:r>
          </w:p>
          <w:p>
            <w:pPr>
              <w:adjustRightInd w:val="0"/>
              <w:snapToGrid w:val="0"/>
              <w:spacing w:line="400" w:lineRule="exact"/>
              <w:ind w:left="112" w:right="204" w:firstLine="9"/>
              <w:jc w:val="left"/>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年发展规划</w:t>
            </w:r>
            <w:r>
              <w:rPr>
                <w:rFonts w:hint="eastAsia"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中移金科金融科技三年滚动规划支撑服务》等多 项课题和咨询；出版《金融科技十讲</w:t>
            </w:r>
            <w:r>
              <w:rPr>
                <w:rFonts w:hint="eastAsia"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互联网金融》等专业图书。</w:t>
            </w:r>
          </w:p>
          <w:p>
            <w:pPr>
              <w:adjustRightInd w:val="0"/>
              <w:snapToGrid w:val="0"/>
              <w:spacing w:line="400" w:lineRule="exact"/>
              <w:ind w:left="112" w:right="54" w:firstLine="520"/>
              <w:jc w:val="left"/>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US" w:eastAsia="zh-CN" w:bidi="ar-SA"/>
              </w:rPr>
              <w:t>发起“番钛客”金融科技双创大赛，举办“中美金融科技论坛”、 “中比金融科技论坛</w:t>
            </w:r>
            <w:r>
              <w:rPr>
                <w:rFonts w:hint="eastAsia"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中关村金融科技大讲堂</w:t>
            </w:r>
            <w:r>
              <w:rPr>
                <w:rFonts w:hint="eastAsia" w:eastAsia="仿宋" w:cs="Times New Roman"/>
                <w:sz w:val="24"/>
                <w:szCs w:val="24"/>
                <w:lang w:val="en-US" w:eastAsia="zh-CN" w:bidi="ar-SA"/>
              </w:rPr>
              <w:t>”“</w:t>
            </w:r>
            <w:r>
              <w:rPr>
                <w:rFonts w:hint="default" w:ascii="Times New Roman" w:hAnsi="Times New Roman" w:eastAsia="仿宋" w:cs="Times New Roman"/>
                <w:sz w:val="24"/>
                <w:szCs w:val="24"/>
                <w:lang w:val="en-US" w:eastAsia="zh-CN" w:bidi="ar-SA"/>
              </w:rPr>
              <w:t>中关村金融科技论坛暨普惠金融论坛”等活动。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9" w:hRule="atLeast"/>
        </w:trPr>
        <w:tc>
          <w:tcPr>
            <w:tcW w:w="1452" w:type="dxa"/>
          </w:tcPr>
          <w:p>
            <w:pPr>
              <w:adjustRightInd w:val="0"/>
              <w:snapToGrid w:val="0"/>
              <w:spacing w:before="201" w:line="221" w:lineRule="auto"/>
              <w:ind w:left="95"/>
              <w:jc w:val="center"/>
              <w:rPr>
                <w:rFonts w:hint="default" w:ascii="Times New Roman" w:hAnsi="Times New Roman" w:eastAsia="楷体" w:cs="Times New Roman"/>
                <w:sz w:val="28"/>
                <w:szCs w:val="28"/>
                <w:lang w:val="en-GB" w:eastAsia="zh-CN" w:bidi="ar-SA"/>
              </w:rPr>
            </w:pPr>
            <w:r>
              <w:rPr>
                <w:rFonts w:hint="default" w:ascii="Times New Roman" w:hAnsi="Times New Roman" w:eastAsia="楷体" w:cs="Times New Roman"/>
                <w:sz w:val="28"/>
                <w:szCs w:val="32"/>
                <w:lang w:val="en-GB" w:eastAsia="zh-CN" w:bidi="ar-SA"/>
              </w:rPr>
              <w:t>联系人</w:t>
            </w:r>
          </w:p>
        </w:tc>
        <w:tc>
          <w:tcPr>
            <w:tcW w:w="2418" w:type="dxa"/>
          </w:tcPr>
          <w:p>
            <w:pPr>
              <w:adjustRightInd w:val="0"/>
              <w:snapToGrid w:val="0"/>
              <w:spacing w:before="198" w:line="219" w:lineRule="auto"/>
              <w:jc w:val="center"/>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US" w:eastAsia="zh-CN" w:bidi="ar-SA"/>
              </w:rPr>
              <w:t>曹老师</w:t>
            </w:r>
          </w:p>
        </w:tc>
        <w:tc>
          <w:tcPr>
            <w:tcW w:w="1574" w:type="dxa"/>
          </w:tcPr>
          <w:p>
            <w:pPr>
              <w:adjustRightInd w:val="0"/>
              <w:snapToGrid w:val="0"/>
              <w:spacing w:before="200" w:line="221" w:lineRule="auto"/>
              <w:ind w:left="95"/>
              <w:jc w:val="center"/>
              <w:rPr>
                <w:rFonts w:hint="default" w:ascii="Times New Roman" w:hAnsi="Times New Roman" w:eastAsia="楷体" w:cs="Times New Roman"/>
                <w:sz w:val="28"/>
                <w:szCs w:val="28"/>
                <w:lang w:val="en-GB" w:eastAsia="zh-CN" w:bidi="ar-SA"/>
              </w:rPr>
            </w:pPr>
            <w:r>
              <w:rPr>
                <w:rFonts w:hint="default" w:ascii="Times New Roman" w:hAnsi="Times New Roman" w:eastAsia="楷体" w:cs="Times New Roman"/>
                <w:spacing w:val="-9"/>
                <w:sz w:val="28"/>
                <w:szCs w:val="28"/>
                <w:lang w:val="en-GB" w:eastAsia="zh-CN" w:bidi="ar-SA"/>
              </w:rPr>
              <w:t>联系方式</w:t>
            </w:r>
          </w:p>
        </w:tc>
        <w:tc>
          <w:tcPr>
            <w:tcW w:w="3042" w:type="dxa"/>
          </w:tcPr>
          <w:p>
            <w:pPr>
              <w:adjustRightInd w:val="0"/>
              <w:snapToGrid w:val="0"/>
              <w:spacing w:before="259" w:line="184" w:lineRule="auto"/>
              <w:jc w:val="center"/>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US" w:eastAsia="zh-CN" w:bidi="ar-SA"/>
              </w:rPr>
              <w:t>13718969634</w:t>
            </w:r>
          </w:p>
        </w:tc>
      </w:tr>
    </w:tbl>
    <w:p>
      <w:pPr>
        <w:widowControl/>
        <w:adjustRightInd w:val="0"/>
        <w:snapToGrid w:val="0"/>
        <w:jc w:val="center"/>
        <w:rPr>
          <w:rFonts w:hint="default" w:ascii="Times New Roman" w:hAnsi="Times New Roman" w:eastAsia="Times New Roman" w:cs="Times New Roman"/>
          <w:kern w:val="0"/>
          <w:sz w:val="24"/>
          <w:lang w:val="en-GB"/>
        </w:rPr>
      </w:pPr>
    </w:p>
    <w:p>
      <w:pPr>
        <w:rPr>
          <w:rFonts w:hint="default" w:ascii="Times New Roman" w:hAnsi="Times New Roman" w:cs="Times New Roman"/>
        </w:rPr>
        <w:sectPr>
          <w:footerReference r:id="rId5" w:type="default"/>
          <w:pgSz w:w="11900" w:h="16840"/>
          <w:pgMar w:top="1431" w:right="1105" w:bottom="1495" w:left="1604" w:header="0" w:footer="1346" w:gutter="0"/>
          <w:pgNumType w:fmt="numberInDash" w:start="1"/>
          <w:cols w:space="720" w:num="1"/>
        </w:sectPr>
      </w:pPr>
    </w:p>
    <w:p>
      <w:pPr>
        <w:widowControl/>
        <w:tabs>
          <w:tab w:val="left" w:pos="8640"/>
        </w:tabs>
        <w:adjustRightInd w:val="0"/>
        <w:snapToGrid w:val="0"/>
        <w:spacing w:line="560" w:lineRule="exact"/>
        <w:ind w:firstLine="332" w:firstLineChars="100"/>
        <w:jc w:val="both"/>
        <w:rPr>
          <w:rFonts w:hint="default" w:ascii="Times New Roman" w:hAnsi="Times New Roman" w:eastAsia="方正黑体简体" w:cs="Times New Roman"/>
          <w:bCs/>
          <w:spacing w:val="6"/>
          <w:kern w:val="0"/>
          <w:sz w:val="32"/>
          <w:szCs w:val="32"/>
          <w:lang w:val="en-GB"/>
        </w:rPr>
      </w:pPr>
      <w:r>
        <w:rPr>
          <w:rFonts w:hint="default" w:ascii="Times New Roman" w:hAnsi="Times New Roman" w:eastAsia="方正黑体简体" w:cs="Times New Roman"/>
          <w:bCs/>
          <w:spacing w:val="6"/>
          <w:kern w:val="0"/>
          <w:sz w:val="32"/>
          <w:szCs w:val="32"/>
          <w:lang w:val="en-GB"/>
        </w:rPr>
        <w:t>二、 选题说明</w:t>
      </w:r>
    </w:p>
    <w:p>
      <w:pPr>
        <w:widowControl/>
        <w:adjustRightInd w:val="0"/>
        <w:snapToGrid w:val="0"/>
        <w:spacing w:line="146" w:lineRule="auto"/>
        <w:jc w:val="center"/>
        <w:rPr>
          <w:rFonts w:hint="default" w:ascii="Times New Roman" w:hAnsi="Times New Roman" w:eastAsia="Times New Roman" w:cs="Times New Roman"/>
          <w:kern w:val="0"/>
          <w:sz w:val="2"/>
          <w:lang w:val="en-GB"/>
        </w:rPr>
      </w:pPr>
    </w:p>
    <w:tbl>
      <w:tblPr>
        <w:tblStyle w:val="12"/>
        <w:tblW w:w="84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2"/>
        <w:gridCol w:w="6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4" w:hRule="atLeast"/>
          <w:jc w:val="center"/>
        </w:trPr>
        <w:tc>
          <w:tcPr>
            <w:tcW w:w="1812" w:type="dxa"/>
          </w:tcPr>
          <w:p>
            <w:pPr>
              <w:adjustRightInd w:val="0"/>
              <w:snapToGrid w:val="0"/>
              <w:spacing w:before="258" w:line="221" w:lineRule="auto"/>
              <w:ind w:left="54"/>
              <w:jc w:val="center"/>
              <w:rPr>
                <w:rFonts w:hint="default" w:ascii="Times New Roman" w:hAnsi="Times New Roman" w:eastAsia="楷体" w:cs="Times New Roman"/>
                <w:sz w:val="28"/>
                <w:szCs w:val="28"/>
                <w:lang w:val="en-GB" w:eastAsia="zh-CN" w:bidi="ar-SA"/>
              </w:rPr>
            </w:pPr>
            <w:r>
              <w:rPr>
                <w:rFonts w:hint="default" w:ascii="Times New Roman" w:hAnsi="Times New Roman" w:eastAsia="楷体" w:cs="Times New Roman"/>
                <w:sz w:val="28"/>
                <w:szCs w:val="28"/>
                <w:lang w:val="en-GB" w:eastAsia="zh-CN" w:bidi="ar-SA"/>
              </w:rPr>
              <w:t>题目</w:t>
            </w:r>
          </w:p>
        </w:tc>
        <w:tc>
          <w:tcPr>
            <w:tcW w:w="6682" w:type="dxa"/>
          </w:tcPr>
          <w:p>
            <w:pPr>
              <w:adjustRightInd w:val="0"/>
              <w:snapToGrid w:val="0"/>
              <w:spacing w:before="255" w:line="219" w:lineRule="auto"/>
              <w:jc w:val="center"/>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基于生成式AI的金融量化投资与风险管理解决方案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4" w:hRule="atLeast"/>
          <w:jc w:val="center"/>
        </w:trPr>
        <w:tc>
          <w:tcPr>
            <w:tcW w:w="1812" w:type="dxa"/>
          </w:tcPr>
          <w:p>
            <w:pPr>
              <w:adjustRightInd w:val="0"/>
              <w:snapToGrid w:val="0"/>
              <w:spacing w:before="258" w:line="221" w:lineRule="auto"/>
              <w:ind w:left="54"/>
              <w:jc w:val="center"/>
              <w:rPr>
                <w:rFonts w:hint="default" w:ascii="Times New Roman" w:hAnsi="Times New Roman" w:eastAsia="楷体" w:cs="Times New Roman"/>
                <w:sz w:val="28"/>
                <w:szCs w:val="28"/>
                <w:lang w:val="en-US" w:eastAsia="zh-CN" w:bidi="ar-SA"/>
              </w:rPr>
            </w:pPr>
            <w:r>
              <w:rPr>
                <w:rFonts w:hint="default" w:ascii="Times New Roman" w:hAnsi="Times New Roman" w:eastAsia="楷体" w:cs="Times New Roman"/>
                <w:sz w:val="28"/>
                <w:szCs w:val="28"/>
                <w:lang w:val="en-US" w:eastAsia="zh-CN" w:bidi="ar-SA"/>
              </w:rPr>
              <w:t>行业领域</w:t>
            </w:r>
          </w:p>
        </w:tc>
        <w:tc>
          <w:tcPr>
            <w:tcW w:w="6682" w:type="dxa"/>
          </w:tcPr>
          <w:p>
            <w:pPr>
              <w:adjustRightInd w:val="0"/>
              <w:snapToGrid w:val="0"/>
              <w:spacing w:before="255" w:line="219" w:lineRule="auto"/>
              <w:jc w:val="center"/>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金融科技、量化投资、风险管理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9" w:hRule="atLeast"/>
          <w:jc w:val="center"/>
        </w:trPr>
        <w:tc>
          <w:tcPr>
            <w:tcW w:w="1812" w:type="dxa"/>
          </w:tcPr>
          <w:p>
            <w:pPr>
              <w:widowControl/>
              <w:adjustRightInd w:val="0"/>
              <w:snapToGrid w:val="0"/>
              <w:spacing w:line="263" w:lineRule="auto"/>
              <w:jc w:val="center"/>
              <w:rPr>
                <w:rFonts w:hint="default" w:ascii="Times New Roman" w:hAnsi="Times New Roman" w:eastAsia="楷体" w:cs="Times New Roman"/>
                <w:kern w:val="0"/>
                <w:sz w:val="28"/>
                <w:szCs w:val="28"/>
                <w:lang w:val="en-GB"/>
              </w:rPr>
            </w:pPr>
          </w:p>
          <w:p>
            <w:pPr>
              <w:widowControl/>
              <w:adjustRightInd w:val="0"/>
              <w:snapToGrid w:val="0"/>
              <w:spacing w:line="263" w:lineRule="auto"/>
              <w:jc w:val="center"/>
              <w:rPr>
                <w:rFonts w:hint="default" w:ascii="Times New Roman" w:hAnsi="Times New Roman" w:eastAsia="楷体" w:cs="Times New Roman"/>
                <w:kern w:val="0"/>
                <w:sz w:val="28"/>
                <w:szCs w:val="28"/>
                <w:lang w:val="en-GB"/>
              </w:rPr>
            </w:pPr>
          </w:p>
          <w:p>
            <w:pPr>
              <w:widowControl/>
              <w:adjustRightInd w:val="0"/>
              <w:snapToGrid w:val="0"/>
              <w:spacing w:line="264" w:lineRule="auto"/>
              <w:jc w:val="center"/>
              <w:rPr>
                <w:rFonts w:hint="default" w:ascii="Times New Roman" w:hAnsi="Times New Roman" w:eastAsia="楷体" w:cs="Times New Roman"/>
                <w:kern w:val="0"/>
                <w:sz w:val="28"/>
                <w:szCs w:val="28"/>
                <w:lang w:val="en-GB"/>
              </w:rPr>
            </w:pPr>
          </w:p>
          <w:p>
            <w:pPr>
              <w:widowControl/>
              <w:adjustRightInd w:val="0"/>
              <w:snapToGrid w:val="0"/>
              <w:spacing w:line="264" w:lineRule="auto"/>
              <w:jc w:val="both"/>
              <w:rPr>
                <w:rFonts w:hint="default" w:ascii="Times New Roman" w:hAnsi="Times New Roman" w:eastAsia="楷体" w:cs="Times New Roman"/>
                <w:kern w:val="0"/>
                <w:sz w:val="28"/>
                <w:szCs w:val="28"/>
                <w:lang w:val="en-GB"/>
              </w:rPr>
            </w:pPr>
          </w:p>
          <w:p>
            <w:pPr>
              <w:widowControl/>
              <w:adjustRightInd w:val="0"/>
              <w:snapToGrid w:val="0"/>
              <w:spacing w:line="264" w:lineRule="auto"/>
              <w:jc w:val="center"/>
              <w:rPr>
                <w:rFonts w:hint="default" w:ascii="Times New Roman" w:hAnsi="Times New Roman" w:eastAsia="楷体" w:cs="Times New Roman"/>
                <w:kern w:val="0"/>
                <w:sz w:val="28"/>
                <w:szCs w:val="28"/>
                <w:lang w:val="en-GB"/>
              </w:rPr>
            </w:pPr>
          </w:p>
          <w:p>
            <w:pPr>
              <w:adjustRightInd w:val="0"/>
              <w:snapToGrid w:val="0"/>
              <w:spacing w:before="82" w:line="219" w:lineRule="auto"/>
              <w:ind w:left="54"/>
              <w:jc w:val="center"/>
              <w:rPr>
                <w:rFonts w:hint="default" w:ascii="Times New Roman" w:hAnsi="Times New Roman" w:eastAsia="楷体" w:cs="Times New Roman"/>
                <w:sz w:val="28"/>
                <w:szCs w:val="28"/>
                <w:lang w:val="en-GB" w:eastAsia="zh-CN" w:bidi="ar-SA"/>
              </w:rPr>
            </w:pPr>
            <w:r>
              <w:rPr>
                <w:rFonts w:hint="default" w:ascii="Times New Roman" w:hAnsi="Times New Roman" w:eastAsia="楷体" w:cs="Times New Roman"/>
                <w:spacing w:val="5"/>
                <w:sz w:val="28"/>
                <w:szCs w:val="28"/>
                <w:lang w:val="en-GB" w:eastAsia="zh-CN" w:bidi="ar-SA"/>
              </w:rPr>
              <w:t>题目介绍</w:t>
            </w:r>
          </w:p>
        </w:tc>
        <w:tc>
          <w:tcPr>
            <w:tcW w:w="6682" w:type="dxa"/>
          </w:tcPr>
          <w:p>
            <w:pPr>
              <w:adjustRightInd w:val="0"/>
              <w:snapToGrid w:val="0"/>
              <w:spacing w:line="400" w:lineRule="exact"/>
              <w:ind w:firstLine="480" w:firstLineChars="200"/>
              <w:jc w:val="left"/>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生成式AI是一种强大的人工智能技术，它可以通过学习大量的数据样本，自动生成符合特定分布的新数据。在量化投资中，生成式Al可以分析历史市场数据、财务数据、新闻情报等多维信息，并生成预测未来市场走势的模拟数据，通过这种方式帮助投资者发现隐藏的模式和趋势，辅助其进行更精准的投资决策。</w:t>
            </w:r>
          </w:p>
          <w:p>
            <w:pPr>
              <w:adjustRightInd w:val="0"/>
              <w:snapToGrid w:val="0"/>
              <w:spacing w:line="400" w:lineRule="exact"/>
              <w:ind w:firstLine="480" w:firstLineChars="200"/>
              <w:jc w:val="left"/>
              <w:rPr>
                <w:rFonts w:hint="default" w:ascii="Times New Roman" w:hAnsi="Times New Roman" w:eastAsia="仿宋" w:cs="Times New Roman"/>
                <w:sz w:val="25"/>
                <w:szCs w:val="25"/>
                <w:lang w:val="en-GB" w:eastAsia="zh-CN" w:bidi="ar-SA"/>
              </w:rPr>
            </w:pPr>
            <w:r>
              <w:rPr>
                <w:rFonts w:hint="default" w:ascii="Times New Roman" w:hAnsi="Times New Roman" w:eastAsia="仿宋" w:cs="Times New Roman"/>
                <w:sz w:val="24"/>
                <w:szCs w:val="24"/>
                <w:lang w:val="en-US" w:eastAsia="zh-CN" w:bidi="ar-SA"/>
              </w:rPr>
              <w:t>基于生成式AI的金融量化投资与风险管理解决方案是一个旨在利用生成式人工智能技术，改进量化投资和风险管理的研究项目。传统的量化投资策略依赖于数学模型和统计分析，但在面对复杂多变的金融市场时其预测准确性和应对能力存在局限性。因此，本项目旨在探索如何结合先进的生成式AI模型和量化金融策略，为投资者提供更准确、可靠的决策支持，以优化投资回报和降低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1" w:hRule="atLeast"/>
          <w:jc w:val="center"/>
        </w:trPr>
        <w:tc>
          <w:tcPr>
            <w:tcW w:w="1812" w:type="dxa"/>
          </w:tcPr>
          <w:p>
            <w:pPr>
              <w:widowControl/>
              <w:adjustRightInd w:val="0"/>
              <w:snapToGrid w:val="0"/>
              <w:spacing w:line="259" w:lineRule="auto"/>
              <w:jc w:val="both"/>
              <w:rPr>
                <w:rFonts w:hint="default" w:ascii="Times New Roman" w:hAnsi="Times New Roman" w:eastAsia="楷体" w:cs="Times New Roman"/>
                <w:kern w:val="0"/>
                <w:sz w:val="28"/>
                <w:szCs w:val="28"/>
                <w:lang w:val="en-GB"/>
              </w:rPr>
            </w:pPr>
          </w:p>
          <w:p>
            <w:pPr>
              <w:widowControl/>
              <w:adjustRightInd w:val="0"/>
              <w:snapToGrid w:val="0"/>
              <w:spacing w:line="259" w:lineRule="auto"/>
              <w:jc w:val="both"/>
              <w:rPr>
                <w:rFonts w:hint="default" w:ascii="Times New Roman" w:hAnsi="Times New Roman" w:eastAsia="楷体" w:cs="Times New Roman"/>
                <w:kern w:val="0"/>
                <w:sz w:val="28"/>
                <w:szCs w:val="28"/>
                <w:lang w:val="en-GB"/>
              </w:rPr>
            </w:pPr>
          </w:p>
          <w:p>
            <w:pPr>
              <w:widowControl/>
              <w:adjustRightInd w:val="0"/>
              <w:snapToGrid w:val="0"/>
              <w:spacing w:line="259" w:lineRule="auto"/>
              <w:jc w:val="center"/>
              <w:rPr>
                <w:rFonts w:hint="default" w:ascii="Times New Roman" w:hAnsi="Times New Roman" w:eastAsia="楷体" w:cs="Times New Roman"/>
                <w:kern w:val="0"/>
                <w:sz w:val="28"/>
                <w:szCs w:val="28"/>
                <w:lang w:val="en-GB"/>
              </w:rPr>
            </w:pPr>
          </w:p>
          <w:p>
            <w:pPr>
              <w:widowControl/>
              <w:adjustRightInd w:val="0"/>
              <w:snapToGrid w:val="0"/>
              <w:spacing w:line="260" w:lineRule="auto"/>
              <w:jc w:val="center"/>
              <w:rPr>
                <w:rFonts w:hint="default" w:ascii="Times New Roman" w:hAnsi="Times New Roman" w:eastAsia="楷体" w:cs="Times New Roman"/>
                <w:kern w:val="0"/>
                <w:sz w:val="28"/>
                <w:szCs w:val="28"/>
                <w:lang w:val="en-GB"/>
              </w:rPr>
            </w:pPr>
          </w:p>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adjustRightInd w:val="0"/>
              <w:snapToGrid w:val="0"/>
              <w:spacing w:before="81" w:line="570" w:lineRule="exact"/>
              <w:jc w:val="center"/>
              <w:rPr>
                <w:rFonts w:hint="default" w:ascii="Times New Roman" w:hAnsi="Times New Roman" w:eastAsia="楷体" w:cs="Times New Roman"/>
                <w:sz w:val="28"/>
                <w:szCs w:val="28"/>
                <w:lang w:val="en-GB" w:eastAsia="zh-CN" w:bidi="ar-SA"/>
              </w:rPr>
            </w:pPr>
            <w:r>
              <w:rPr>
                <w:rFonts w:hint="default" w:ascii="Times New Roman" w:hAnsi="Times New Roman" w:eastAsia="楷体" w:cs="Times New Roman"/>
                <w:sz w:val="28"/>
                <w:szCs w:val="28"/>
                <w:lang w:val="en-GB" w:eastAsia="zh-CN" w:bidi="ar-SA"/>
              </w:rPr>
              <w:t>经济社会效益</w:t>
            </w:r>
          </w:p>
        </w:tc>
        <w:tc>
          <w:tcPr>
            <w:tcW w:w="6682" w:type="dxa"/>
          </w:tcPr>
          <w:p>
            <w:pPr>
              <w:adjustRightInd w:val="0"/>
              <w:snapToGrid w:val="0"/>
              <w:spacing w:line="400" w:lineRule="exact"/>
              <w:ind w:right="90" w:firstLine="480" w:firstLineChars="200"/>
              <w:jc w:val="left"/>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1.提高投资回报率：通过基于生成式AI的量化投资策略，可以帮助投资者发现低估或高估的投资机会，从而优化投资组合配置，实现更准确的市场预测和交易决策，提高投资组合的回报率。</w:t>
            </w:r>
          </w:p>
          <w:p>
            <w:pPr>
              <w:adjustRightInd w:val="0"/>
              <w:snapToGrid w:val="0"/>
              <w:spacing w:line="400" w:lineRule="exact"/>
              <w:ind w:left="81" w:firstLine="479"/>
              <w:jc w:val="left"/>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2.降低投资风险：通过分析大量的市场数据和相关因素，模拟不同市场情景下的投资组合表现，帮助投资者评估风险水平并采取相应的风险管理策略，降低投资组合的风险。</w:t>
            </w:r>
          </w:p>
          <w:p>
            <w:pPr>
              <w:adjustRightInd w:val="0"/>
              <w:snapToGrid w:val="0"/>
              <w:spacing w:line="400" w:lineRule="exact"/>
              <w:ind w:left="82" w:right="82" w:firstLine="500"/>
              <w:jc w:val="left"/>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US" w:eastAsia="zh-CN" w:bidi="ar-SA"/>
              </w:rPr>
              <w:t>3.促进金融创新：通过将生成式AI技术应用于量化投资和风险管理领域，可以推动金融创新，拓宽投资工具和策略的范围，提高市场的效率和流动性。</w:t>
            </w:r>
          </w:p>
        </w:tc>
      </w:tr>
    </w:tbl>
    <w:p>
      <w:pPr>
        <w:widowControl/>
        <w:adjustRightInd w:val="0"/>
        <w:snapToGrid w:val="0"/>
        <w:spacing w:line="193" w:lineRule="exact"/>
        <w:jc w:val="center"/>
        <w:rPr>
          <w:rFonts w:hint="default" w:ascii="Times New Roman" w:hAnsi="Times New Roman" w:eastAsia="Times New Roman" w:cs="Times New Roman"/>
          <w:kern w:val="0"/>
          <w:sz w:val="24"/>
          <w:lang w:val="en-GB"/>
        </w:rPr>
      </w:pPr>
    </w:p>
    <w:tbl>
      <w:tblPr>
        <w:tblStyle w:val="12"/>
        <w:tblW w:w="9049"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7"/>
        <w:gridCol w:w="7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20" w:hRule="atLeast"/>
        </w:trPr>
        <w:tc>
          <w:tcPr>
            <w:tcW w:w="1827" w:type="dxa"/>
          </w:tcPr>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5"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adjustRightInd w:val="0"/>
              <w:snapToGrid w:val="0"/>
              <w:spacing w:before="81" w:line="570" w:lineRule="exact"/>
              <w:ind w:left="54"/>
              <w:jc w:val="center"/>
              <w:rPr>
                <w:rFonts w:hint="default" w:ascii="Times New Roman" w:hAnsi="Times New Roman" w:eastAsia="宋体" w:cs="Times New Roman"/>
                <w:sz w:val="24"/>
                <w:szCs w:val="24"/>
                <w:lang w:val="en-GB" w:eastAsia="zh-CN" w:bidi="ar-SA"/>
              </w:rPr>
            </w:pPr>
            <w:r>
              <w:rPr>
                <w:rFonts w:hint="default" w:ascii="Times New Roman" w:hAnsi="Times New Roman" w:eastAsia="楷体" w:cs="Times New Roman"/>
                <w:sz w:val="28"/>
                <w:szCs w:val="28"/>
                <w:lang w:val="en-GB" w:eastAsia="zh-CN" w:bidi="ar-SA"/>
              </w:rPr>
              <w:t>作品要求</w:t>
            </w:r>
          </w:p>
        </w:tc>
        <w:tc>
          <w:tcPr>
            <w:tcW w:w="7222" w:type="dxa"/>
          </w:tcPr>
          <w:p>
            <w:pPr>
              <w:adjustRightInd w:val="0"/>
              <w:snapToGrid w:val="0"/>
              <w:spacing w:line="400" w:lineRule="exact"/>
              <w:ind w:left="81" w:firstLine="479"/>
              <w:jc w:val="left"/>
              <w:rPr>
                <w:rFonts w:hint="default" w:ascii="Times New Roman" w:hAnsi="Times New Roman" w:eastAsia="仿宋" w:cs="Times New Roman"/>
                <w:b/>
                <w:bCs/>
                <w:sz w:val="24"/>
                <w:szCs w:val="24"/>
                <w:lang w:val="en-GB" w:eastAsia="zh-CN" w:bidi="ar-SA"/>
              </w:rPr>
            </w:pPr>
            <w:r>
              <w:rPr>
                <w:rFonts w:hint="default" w:ascii="Times New Roman" w:hAnsi="Times New Roman" w:eastAsia="仿宋" w:cs="Times New Roman"/>
                <w:b/>
                <w:bCs/>
                <w:sz w:val="24"/>
                <w:szCs w:val="24"/>
                <w:lang w:val="en-GB" w:eastAsia="zh-CN" w:bidi="ar-SA"/>
              </w:rPr>
              <w:t>一、作品要求</w:t>
            </w:r>
          </w:p>
          <w:p>
            <w:pPr>
              <w:adjustRightInd w:val="0"/>
              <w:snapToGrid w:val="0"/>
              <w:spacing w:line="400" w:lineRule="exact"/>
              <w:ind w:left="81" w:firstLine="479"/>
              <w:jc w:val="left"/>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作品需介绍所使用的生成式Al模型和量化金融策略，并解释为什么选择 这些方法，需要详细说明生成式Al模型的原理、算法和训练过程，以及如何将其应用于量化投资和风险管理领域。</w:t>
            </w:r>
          </w:p>
          <w:p>
            <w:pPr>
              <w:adjustRightInd w:val="0"/>
              <w:snapToGrid w:val="0"/>
              <w:spacing w:line="400" w:lineRule="exact"/>
              <w:ind w:left="81" w:firstLine="479"/>
              <w:jc w:val="left"/>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对于模型评估和验证，作品应设计合适的回测框架和评估指标，以评估 生成式Al模型的性能和有效性，并对模型的结果进行解释和分析；对于风险 管理策略，学生需要说明如何结合生成式Al模型的预测结果，设计和实施有 效的风险管理策略，以保护投资组合免受市场波动的影响。可选择的研究对象：</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1</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A股股票市场</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2</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债券市场</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3</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期货、期权市场</w:t>
            </w:r>
            <w:r>
              <w:rPr>
                <w:rFonts w:hint="default" w:ascii="Times New Roman" w:hAnsi="Times New Roman" w:eastAsia="仿宋" w:cs="Times New Roman"/>
                <w:sz w:val="24"/>
                <w:szCs w:val="24"/>
                <w:lang w:val="en-US" w:eastAsia="zh-CN" w:bidi="ar-SA"/>
              </w:rPr>
              <w:t>.</w:t>
            </w:r>
            <w:r>
              <w:rPr>
                <w:rFonts w:hint="default" w:ascii="Times New Roman" w:hAnsi="Times New Roman" w:eastAsia="仿宋" w:cs="Times New Roman"/>
                <w:sz w:val="24"/>
                <w:szCs w:val="24"/>
                <w:lang w:val="en-GB" w:eastAsia="zh-CN" w:bidi="ar-SA"/>
              </w:rPr>
              <w:t>作品需至少包含以下材料：报告书、所用数据、算法、模型、测试报告、代码等；其他相关资料</w:t>
            </w:r>
          </w:p>
          <w:p>
            <w:pPr>
              <w:adjustRightInd w:val="0"/>
              <w:snapToGrid w:val="0"/>
              <w:spacing w:line="400" w:lineRule="exact"/>
              <w:ind w:left="81" w:firstLine="479"/>
              <w:jc w:val="left"/>
              <w:rPr>
                <w:rFonts w:hint="default" w:ascii="Times New Roman" w:hAnsi="Times New Roman" w:eastAsia="仿宋" w:cs="Times New Roman"/>
                <w:b/>
                <w:bCs/>
                <w:sz w:val="24"/>
                <w:szCs w:val="24"/>
                <w:lang w:val="en-GB" w:eastAsia="zh-CN" w:bidi="ar-SA"/>
              </w:rPr>
            </w:pPr>
            <w:r>
              <w:rPr>
                <w:rFonts w:hint="default" w:ascii="Times New Roman" w:hAnsi="Times New Roman" w:eastAsia="仿宋" w:cs="Times New Roman"/>
                <w:b/>
                <w:bCs/>
                <w:sz w:val="24"/>
                <w:szCs w:val="24"/>
                <w:lang w:val="en-GB" w:eastAsia="zh-CN" w:bidi="ar-SA"/>
              </w:rPr>
              <w:t>二、评审规则：作品将从三大维度进行评审</w:t>
            </w:r>
          </w:p>
          <w:p>
            <w:pPr>
              <w:adjustRightInd w:val="0"/>
              <w:snapToGrid w:val="0"/>
              <w:spacing w:line="400" w:lineRule="exact"/>
              <w:ind w:left="81" w:firstLine="479"/>
              <w:jc w:val="left"/>
              <w:rPr>
                <w:rFonts w:hint="default" w:ascii="Times New Roman" w:hAnsi="Times New Roman" w:eastAsia="仿宋" w:cs="Times New Roman"/>
                <w:sz w:val="24"/>
                <w:szCs w:val="24"/>
                <w:lang w:val="en-GB" w:eastAsia="zh-CN" w:bidi="ar-SA"/>
              </w:rPr>
            </w:pP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1</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作品完整性</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40分</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作品需完整完成从数据搜集、处理，模型训练，回测，构建风险管理策略全流程，各部分协调统一，无明显缺陷；</w:t>
            </w:r>
          </w:p>
          <w:p>
            <w:pPr>
              <w:adjustRightInd w:val="0"/>
              <w:snapToGrid w:val="0"/>
              <w:spacing w:line="400" w:lineRule="exact"/>
              <w:ind w:left="81" w:firstLine="479"/>
              <w:jc w:val="left"/>
              <w:rPr>
                <w:rFonts w:hint="default" w:ascii="Times New Roman" w:hAnsi="Times New Roman" w:eastAsia="仿宋" w:cs="Times New Roman"/>
                <w:sz w:val="24"/>
                <w:szCs w:val="24"/>
                <w:lang w:val="en-GB" w:eastAsia="zh-CN" w:bidi="ar-SA"/>
              </w:rPr>
            </w:pP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2</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投资策略整体效益</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30分</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评委将评估作品方案中模型评估和验证的设计和执行，包括回测框架的合理性、评估指标的选择和解释、投资策略收益率等方面的评估；</w:t>
            </w:r>
          </w:p>
          <w:p>
            <w:pPr>
              <w:adjustRightInd w:val="0"/>
              <w:snapToGrid w:val="0"/>
              <w:spacing w:line="400" w:lineRule="exact"/>
              <w:ind w:left="81" w:firstLine="479"/>
              <w:jc w:val="left"/>
              <w:rPr>
                <w:rFonts w:hint="default" w:ascii="Times New Roman" w:hAnsi="Times New Roman" w:eastAsia="仿宋" w:cs="Times New Roman"/>
                <w:sz w:val="24"/>
                <w:szCs w:val="24"/>
                <w:lang w:val="en-GB" w:eastAsia="zh-CN" w:bidi="ar-SA"/>
              </w:rPr>
            </w:pP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3</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风险管理策略评估</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30分</w:t>
            </w:r>
            <w:r>
              <w:rPr>
                <w:rFonts w:hint="eastAsia" w:eastAsia="仿宋" w:cs="Times New Roman"/>
                <w:sz w:val="24"/>
                <w:szCs w:val="24"/>
                <w:lang w:val="en-GB" w:eastAsia="zh-CN" w:bidi="ar-SA"/>
              </w:rPr>
              <w:t>）：</w:t>
            </w:r>
            <w:r>
              <w:rPr>
                <w:rFonts w:hint="default" w:ascii="Times New Roman" w:hAnsi="Times New Roman" w:eastAsia="仿宋" w:cs="Times New Roman"/>
                <w:sz w:val="24"/>
                <w:szCs w:val="24"/>
                <w:lang w:val="en-GB" w:eastAsia="zh-CN" w:bidi="ar-SA"/>
              </w:rPr>
              <w:t>评委将评估作品中所提出的风险管理策略的合理性和可行性，包括对不同风险因素的考虑和相应策略的设计等。</w:t>
            </w:r>
          </w:p>
          <w:p>
            <w:pPr>
              <w:adjustRightInd w:val="0"/>
              <w:snapToGrid w:val="0"/>
              <w:spacing w:line="400" w:lineRule="exact"/>
              <w:ind w:left="0" w:firstLine="0"/>
              <w:jc w:val="left"/>
              <w:rPr>
                <w:rFonts w:hint="default" w:ascii="Times New Roman" w:hAnsi="Times New Roman" w:eastAsia="宋体" w:cs="Times New Roman"/>
                <w:sz w:val="24"/>
                <w:szCs w:val="24"/>
                <w:lang w:val="en-GB" w:eastAsia="zh-CN" w:bidi="ar-SA"/>
              </w:rPr>
            </w:pPr>
          </w:p>
        </w:tc>
      </w:tr>
    </w:tbl>
    <w:p>
      <w:pPr>
        <w:widowControl/>
        <w:tabs>
          <w:tab w:val="left" w:pos="8640"/>
        </w:tabs>
        <w:adjustRightInd w:val="0"/>
        <w:snapToGrid w:val="0"/>
        <w:spacing w:line="560" w:lineRule="exact"/>
        <w:jc w:val="both"/>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ind w:firstLine="0" w:firstLineChars="0"/>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ind w:firstLine="332" w:firstLineChars="100"/>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p>
      <w:pPr>
        <w:widowControl/>
        <w:adjustRightInd w:val="0"/>
        <w:snapToGrid w:val="0"/>
        <w:spacing w:line="44" w:lineRule="exact"/>
        <w:jc w:val="center"/>
        <w:rPr>
          <w:rFonts w:hint="default" w:ascii="Times New Roman" w:hAnsi="Times New Roman" w:eastAsia="Times New Roman" w:cs="Times New Roman"/>
          <w:kern w:val="0"/>
          <w:sz w:val="24"/>
          <w:lang w:val="en-GB"/>
        </w:rPr>
      </w:pPr>
    </w:p>
    <w:tbl>
      <w:tblPr>
        <w:tblStyle w:val="12"/>
        <w:tblW w:w="8778" w:type="dxa"/>
        <w:tblInd w:w="2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3"/>
        <w:gridCol w:w="6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99" w:hRule="atLeast"/>
        </w:trPr>
        <w:tc>
          <w:tcPr>
            <w:tcW w:w="1853" w:type="dxa"/>
          </w:tcPr>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49" w:lineRule="auto"/>
              <w:jc w:val="both"/>
              <w:rPr>
                <w:rFonts w:hint="default" w:ascii="Times New Roman" w:hAnsi="Times New Roman" w:eastAsia="Times New Roman" w:cs="Times New Roman"/>
                <w:kern w:val="0"/>
                <w:sz w:val="24"/>
                <w:lang w:val="en-GB"/>
              </w:rPr>
            </w:pPr>
          </w:p>
          <w:p>
            <w:pPr>
              <w:widowControl/>
              <w:adjustRightInd w:val="0"/>
              <w:snapToGrid w:val="0"/>
              <w:spacing w:line="249" w:lineRule="auto"/>
              <w:jc w:val="center"/>
              <w:rPr>
                <w:rFonts w:hint="default" w:ascii="Times New Roman" w:hAnsi="Times New Roman" w:eastAsia="Times New Roman" w:cs="Times New Roman"/>
                <w:kern w:val="0"/>
                <w:sz w:val="24"/>
                <w:lang w:val="en-GB"/>
              </w:rPr>
            </w:pPr>
          </w:p>
          <w:p>
            <w:pPr>
              <w:widowControl/>
              <w:adjustRightInd w:val="0"/>
              <w:snapToGrid w:val="0"/>
              <w:spacing w:line="250" w:lineRule="auto"/>
              <w:jc w:val="center"/>
              <w:rPr>
                <w:rFonts w:hint="default" w:ascii="Times New Roman" w:hAnsi="Times New Roman" w:eastAsia="Times New Roman" w:cs="Times New Roman"/>
                <w:kern w:val="0"/>
                <w:sz w:val="24"/>
                <w:lang w:val="en-GB"/>
              </w:rPr>
            </w:pPr>
          </w:p>
          <w:p>
            <w:pPr>
              <w:widowControl/>
              <w:adjustRightInd w:val="0"/>
              <w:snapToGrid w:val="0"/>
              <w:spacing w:line="250" w:lineRule="auto"/>
              <w:jc w:val="center"/>
              <w:rPr>
                <w:rFonts w:hint="default" w:ascii="Times New Roman" w:hAnsi="Times New Roman" w:eastAsia="Times New Roman" w:cs="Times New Roman"/>
                <w:kern w:val="0"/>
                <w:sz w:val="24"/>
                <w:lang w:val="en-GB"/>
              </w:rPr>
            </w:pPr>
          </w:p>
          <w:p>
            <w:pPr>
              <w:widowControl/>
              <w:adjustRightInd w:val="0"/>
              <w:snapToGrid w:val="0"/>
              <w:spacing w:line="250" w:lineRule="auto"/>
              <w:jc w:val="center"/>
              <w:rPr>
                <w:rFonts w:hint="default" w:ascii="Times New Roman" w:hAnsi="Times New Roman" w:eastAsia="Times New Roman" w:cs="Times New Roman"/>
                <w:kern w:val="0"/>
                <w:sz w:val="24"/>
                <w:lang w:val="en-GB"/>
              </w:rPr>
            </w:pPr>
          </w:p>
          <w:p>
            <w:pPr>
              <w:adjustRightInd w:val="0"/>
              <w:snapToGrid w:val="0"/>
              <w:spacing w:before="81" w:line="549" w:lineRule="exact"/>
              <w:ind w:left="14"/>
              <w:jc w:val="center"/>
              <w:rPr>
                <w:rFonts w:hint="default" w:ascii="Times New Roman" w:hAnsi="Times New Roman" w:eastAsia="宋体" w:cs="Times New Roman"/>
                <w:sz w:val="25"/>
                <w:szCs w:val="25"/>
                <w:lang w:val="en-US" w:eastAsia="zh-CN" w:bidi="ar-SA"/>
              </w:rPr>
            </w:pPr>
            <w:r>
              <w:rPr>
                <w:rFonts w:hint="default" w:ascii="Times New Roman" w:hAnsi="Times New Roman" w:eastAsia="楷体" w:cs="Times New Roman"/>
                <w:sz w:val="28"/>
                <w:szCs w:val="28"/>
                <w:lang w:val="en-US" w:eastAsia="zh-CN" w:bidi="ar-SA"/>
              </w:rPr>
              <w:t>指导措施</w:t>
            </w:r>
          </w:p>
        </w:tc>
        <w:tc>
          <w:tcPr>
            <w:tcW w:w="6925" w:type="dxa"/>
          </w:tcPr>
          <w:p>
            <w:pPr>
              <w:adjustRightInd w:val="0"/>
              <w:snapToGrid w:val="0"/>
              <w:spacing w:line="400" w:lineRule="exact"/>
              <w:ind w:firstLine="480" w:firstLineChars="200"/>
              <w:jc w:val="both"/>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为确保参赛团队在比赛中取得优异成绩，将提供以下指导措施：</w:t>
            </w:r>
          </w:p>
          <w:p>
            <w:pPr>
              <w:adjustRightInd w:val="0"/>
              <w:snapToGrid w:val="0"/>
              <w:spacing w:line="400" w:lineRule="exact"/>
              <w:ind w:firstLine="480" w:firstLineChars="200"/>
              <w:jc w:val="both"/>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一是比赛前一周组织参赛团队参观人工智能、金融科技企业等应用场景，以便更好地了解实际应用需求和技术要求。</w:t>
            </w:r>
          </w:p>
          <w:p>
            <w:pPr>
              <w:adjustRightInd w:val="0"/>
              <w:snapToGrid w:val="0"/>
              <w:spacing w:line="400" w:lineRule="exact"/>
              <w:ind w:firstLine="480" w:firstLineChars="200"/>
              <w:jc w:val="both"/>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二是比赛前两周根据参赛团队的需求和实际情况，组织参赛团队进行实践调研，深入了解人工智能行业的发展趋势和技术前沿。</w:t>
            </w:r>
          </w:p>
          <w:p>
            <w:pPr>
              <w:adjustRightInd w:val="0"/>
              <w:snapToGrid w:val="0"/>
              <w:spacing w:line="400" w:lineRule="exact"/>
              <w:ind w:firstLine="480" w:firstLineChars="200"/>
              <w:jc w:val="both"/>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三是整理并提供以往相关研究资料和材料，以供参赛团队参考和学习。包括相关领域的学术论文、技术报告和案例分析等。</w:t>
            </w:r>
          </w:p>
          <w:p>
            <w:pPr>
              <w:adjustRightInd w:val="0"/>
              <w:snapToGrid w:val="0"/>
              <w:spacing w:line="400" w:lineRule="exact"/>
              <w:ind w:firstLine="480" w:firstLineChars="200"/>
              <w:jc w:val="both"/>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四是为参赛团队配备专门的指导人员，提供技术支持和咨询服务。 指导人员将根据参赛团队的需求和实际情况进行安排，确保团队得到及时有效</w:t>
            </w:r>
            <w:r>
              <w:rPr>
                <w:rFonts w:hint="eastAsia" w:eastAsia="仿宋" w:cs="Times New Roman"/>
                <w:sz w:val="24"/>
                <w:szCs w:val="24"/>
                <w:lang w:val="en-GB" w:eastAsia="zh-CN" w:bidi="ar-SA"/>
              </w:rPr>
              <w:t>地</w:t>
            </w:r>
            <w:r>
              <w:rPr>
                <w:rFonts w:hint="default" w:ascii="Times New Roman" w:hAnsi="Times New Roman" w:eastAsia="仿宋" w:cs="Times New Roman"/>
                <w:sz w:val="24"/>
                <w:szCs w:val="24"/>
                <w:lang w:val="en-GB" w:eastAsia="zh-CN" w:bidi="ar-SA"/>
              </w:rPr>
              <w:t>指导。</w:t>
            </w:r>
          </w:p>
          <w:p>
            <w:pPr>
              <w:adjustRightInd w:val="0"/>
              <w:snapToGrid w:val="0"/>
              <w:spacing w:line="400" w:lineRule="exact"/>
              <w:ind w:firstLine="480" w:firstLineChars="200"/>
              <w:jc w:val="both"/>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五是邀请人工智能领域的专家参与比赛评审和交流活动，为参赛团 队提供更多的机会和资源，推动产教融合，促进参赛团队与产业界的合作与交流。</w:t>
            </w:r>
          </w:p>
          <w:p>
            <w:pPr>
              <w:adjustRightInd w:val="0"/>
              <w:snapToGrid w:val="0"/>
              <w:spacing w:line="400" w:lineRule="exact"/>
              <w:ind w:firstLine="480" w:firstLineChars="200"/>
              <w:jc w:val="both"/>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为确保以上措施的有效落实，制定以下保障措施：</w:t>
            </w:r>
          </w:p>
          <w:p>
            <w:pPr>
              <w:adjustRightInd w:val="0"/>
              <w:snapToGrid w:val="0"/>
              <w:spacing w:line="400" w:lineRule="exact"/>
              <w:ind w:firstLine="480" w:firstLineChars="200"/>
              <w:jc w:val="both"/>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一是制定完善的组织机构，成立比赛组委会，负责制定比赛规则， 组织实施比赛活动和提供指导帮助等。组委会将根据实际情况及时调整和完善比赛方案，确保比赛的顺利进行。</w:t>
            </w:r>
          </w:p>
          <w:p>
            <w:pPr>
              <w:adjustRightInd w:val="0"/>
              <w:snapToGrid w:val="0"/>
              <w:spacing w:line="400" w:lineRule="exact"/>
              <w:ind w:firstLine="480" w:firstLineChars="200"/>
              <w:jc w:val="both"/>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二是加强沟通和协作，建立完善的沟通机制，及时了解参赛团队的需求和反馈意见，协调解决团队遇到的问题。同时，加强与产业界的合作与交流，共同推动参赛团队的发展和提高。</w:t>
            </w:r>
          </w:p>
          <w:p>
            <w:pPr>
              <w:adjustRightInd w:val="0"/>
              <w:snapToGrid w:val="0"/>
              <w:spacing w:line="400" w:lineRule="exact"/>
              <w:ind w:firstLine="480" w:firstLineChars="200"/>
              <w:jc w:val="both"/>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三是加强宣传推广，通过多种渠道加强宣传推广，提高比赛的知名度和影响力。</w:t>
            </w:r>
          </w:p>
          <w:p>
            <w:pPr>
              <w:adjustRightInd w:val="0"/>
              <w:snapToGrid w:val="0"/>
              <w:spacing w:line="400" w:lineRule="exact"/>
              <w:ind w:firstLine="480" w:firstLineChars="200"/>
              <w:jc w:val="both"/>
              <w:rPr>
                <w:rFonts w:hint="default" w:ascii="Times New Roman" w:hAnsi="Times New Roman" w:eastAsia="宋体" w:cs="Times New Roman"/>
                <w:sz w:val="25"/>
                <w:szCs w:val="25"/>
                <w:lang w:val="en-GB" w:eastAsia="zh-CN" w:bidi="ar-SA"/>
              </w:rPr>
            </w:pPr>
            <w:r>
              <w:rPr>
                <w:rFonts w:hint="default" w:ascii="Times New Roman" w:hAnsi="Times New Roman" w:eastAsia="仿宋" w:cs="Times New Roman"/>
                <w:sz w:val="24"/>
                <w:szCs w:val="24"/>
                <w:lang w:val="en-GB" w:eastAsia="zh-CN" w:bidi="ar-SA"/>
              </w:rPr>
              <w:t>四是建立完善的评估机制，对参赛团队的表现和成果进行科学、公正</w:t>
            </w:r>
            <w:r>
              <w:rPr>
                <w:rFonts w:hint="eastAsia" w:eastAsia="仿宋" w:cs="Times New Roman"/>
                <w:sz w:val="24"/>
                <w:szCs w:val="24"/>
                <w:lang w:val="en-GB" w:eastAsia="zh-CN" w:bidi="ar-SA"/>
              </w:rPr>
              <w:t>地</w:t>
            </w:r>
            <w:r>
              <w:rPr>
                <w:rFonts w:hint="default" w:ascii="Times New Roman" w:hAnsi="Times New Roman" w:eastAsia="仿宋" w:cs="Times New Roman"/>
                <w:sz w:val="24"/>
                <w:szCs w:val="24"/>
                <w:lang w:val="en-GB" w:eastAsia="zh-CN" w:bidi="ar-SA"/>
              </w:rPr>
              <w:t>评估。评估将根据团队提交的方案、实践调研报告、现场表现等多方面进行综合评价，以确保评估结果的客观性和准确性。</w:t>
            </w:r>
          </w:p>
        </w:tc>
      </w:tr>
    </w:tbl>
    <w:p>
      <w:pPr>
        <w:widowControl/>
        <w:adjustRightInd w:val="0"/>
        <w:snapToGrid w:val="0"/>
        <w:jc w:val="center"/>
        <w:rPr>
          <w:rFonts w:hint="default" w:ascii="Times New Roman" w:hAnsi="Times New Roman" w:eastAsia="Times New Roman" w:cs="Times New Roman"/>
          <w:kern w:val="0"/>
          <w:sz w:val="24"/>
          <w:lang w:val="en-GB"/>
        </w:rPr>
      </w:pPr>
    </w:p>
    <w:p>
      <w:pPr>
        <w:rPr>
          <w:rFonts w:hint="default" w:ascii="Times New Roman" w:hAnsi="Times New Roman" w:cs="Times New Roman"/>
        </w:rPr>
        <w:sectPr>
          <w:footerReference r:id="rId6" w:type="default"/>
          <w:pgSz w:w="11900" w:h="16840"/>
          <w:pgMar w:top="1431" w:right="1185" w:bottom="1455" w:left="1655" w:header="0" w:footer="1306" w:gutter="0"/>
          <w:pgNumType w:fmt="numberInDash"/>
          <w:cols w:space="720" w:num="1"/>
        </w:sectPr>
      </w:pPr>
    </w:p>
    <w:p>
      <w:pPr>
        <w:widowControl/>
        <w:adjustRightInd w:val="0"/>
        <w:snapToGrid w:val="0"/>
        <w:spacing w:line="183" w:lineRule="exact"/>
        <w:jc w:val="center"/>
        <w:rPr>
          <w:rFonts w:hint="default" w:ascii="Times New Roman" w:hAnsi="Times New Roman" w:eastAsia="Times New Roman" w:cs="Times New Roman"/>
          <w:kern w:val="0"/>
          <w:sz w:val="24"/>
          <w:lang w:val="en-GB"/>
        </w:rPr>
      </w:pPr>
    </w:p>
    <w:tbl>
      <w:tblPr>
        <w:tblStyle w:val="12"/>
        <w:tblW w:w="8697" w:type="dxa"/>
        <w:tblInd w:w="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7"/>
        <w:gridCol w:w="6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0" w:hRule="atLeast"/>
        </w:trPr>
        <w:tc>
          <w:tcPr>
            <w:tcW w:w="1857" w:type="dxa"/>
          </w:tcPr>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6" w:lineRule="auto"/>
              <w:jc w:val="center"/>
              <w:rPr>
                <w:rFonts w:hint="default" w:ascii="Times New Roman" w:hAnsi="Times New Roman" w:eastAsia="Times New Roman" w:cs="Times New Roman"/>
                <w:kern w:val="0"/>
                <w:sz w:val="24"/>
                <w:lang w:val="en-GB"/>
              </w:rPr>
            </w:pPr>
          </w:p>
          <w:p>
            <w:pPr>
              <w:widowControl/>
              <w:adjustRightInd w:val="0"/>
              <w:snapToGrid w:val="0"/>
              <w:spacing w:line="247" w:lineRule="auto"/>
              <w:jc w:val="center"/>
              <w:rPr>
                <w:rFonts w:hint="default" w:ascii="Times New Roman" w:hAnsi="Times New Roman" w:eastAsia="Times New Roman" w:cs="Times New Roman"/>
                <w:kern w:val="0"/>
                <w:sz w:val="24"/>
                <w:lang w:val="en-GB"/>
              </w:rPr>
            </w:pPr>
          </w:p>
          <w:p>
            <w:pPr>
              <w:widowControl/>
              <w:adjustRightInd w:val="0"/>
              <w:snapToGrid w:val="0"/>
              <w:spacing w:line="247" w:lineRule="auto"/>
              <w:jc w:val="center"/>
              <w:rPr>
                <w:rFonts w:hint="default" w:ascii="Times New Roman" w:hAnsi="Times New Roman" w:eastAsia="Times New Roman" w:cs="Times New Roman"/>
                <w:kern w:val="0"/>
                <w:sz w:val="24"/>
                <w:lang w:val="en-GB"/>
              </w:rPr>
            </w:pPr>
          </w:p>
          <w:p>
            <w:pPr>
              <w:widowControl/>
              <w:adjustRightInd w:val="0"/>
              <w:snapToGrid w:val="0"/>
              <w:spacing w:line="247" w:lineRule="auto"/>
              <w:jc w:val="center"/>
              <w:rPr>
                <w:rFonts w:hint="default" w:ascii="Times New Roman" w:hAnsi="Times New Roman" w:eastAsia="Times New Roman" w:cs="Times New Roman"/>
                <w:kern w:val="0"/>
                <w:sz w:val="24"/>
                <w:lang w:val="en-GB"/>
              </w:rPr>
            </w:pPr>
          </w:p>
          <w:p>
            <w:pPr>
              <w:widowControl/>
              <w:adjustRightInd w:val="0"/>
              <w:snapToGrid w:val="0"/>
              <w:spacing w:line="247" w:lineRule="auto"/>
              <w:jc w:val="center"/>
              <w:rPr>
                <w:rFonts w:hint="default" w:ascii="Times New Roman" w:hAnsi="Times New Roman" w:eastAsia="Times New Roman" w:cs="Times New Roman"/>
                <w:kern w:val="0"/>
                <w:sz w:val="24"/>
                <w:lang w:val="en-GB"/>
              </w:rPr>
            </w:pPr>
          </w:p>
          <w:p>
            <w:pPr>
              <w:widowControl/>
              <w:adjustRightInd w:val="0"/>
              <w:snapToGrid w:val="0"/>
              <w:spacing w:line="247" w:lineRule="auto"/>
              <w:jc w:val="center"/>
              <w:rPr>
                <w:rFonts w:hint="default" w:ascii="Times New Roman" w:hAnsi="Times New Roman" w:eastAsia="Times New Roman" w:cs="Times New Roman"/>
                <w:kern w:val="0"/>
                <w:sz w:val="24"/>
                <w:lang w:val="en-GB"/>
              </w:rPr>
            </w:pPr>
          </w:p>
          <w:p>
            <w:pPr>
              <w:widowControl/>
              <w:adjustRightInd w:val="0"/>
              <w:snapToGrid w:val="0"/>
              <w:spacing w:line="247" w:lineRule="auto"/>
              <w:jc w:val="center"/>
              <w:rPr>
                <w:rFonts w:hint="default" w:ascii="Times New Roman" w:hAnsi="Times New Roman" w:eastAsia="Times New Roman" w:cs="Times New Roman"/>
                <w:kern w:val="0"/>
                <w:sz w:val="24"/>
                <w:lang w:val="en-GB"/>
              </w:rPr>
            </w:pPr>
          </w:p>
          <w:p>
            <w:pPr>
              <w:widowControl/>
              <w:adjustRightInd w:val="0"/>
              <w:snapToGrid w:val="0"/>
              <w:spacing w:line="247" w:lineRule="auto"/>
              <w:jc w:val="center"/>
              <w:rPr>
                <w:rFonts w:hint="default" w:ascii="Times New Roman" w:hAnsi="Times New Roman" w:eastAsia="Times New Roman" w:cs="Times New Roman"/>
                <w:kern w:val="0"/>
                <w:sz w:val="24"/>
                <w:lang w:val="en-GB"/>
              </w:rPr>
            </w:pPr>
          </w:p>
          <w:p>
            <w:pPr>
              <w:adjustRightInd w:val="0"/>
              <w:snapToGrid w:val="0"/>
              <w:spacing w:before="81" w:line="549" w:lineRule="exact"/>
              <w:ind w:left="14"/>
              <w:jc w:val="center"/>
              <w:rPr>
                <w:rFonts w:hint="default" w:ascii="Times New Roman" w:hAnsi="Times New Roman" w:eastAsia="宋体" w:cs="Times New Roman"/>
                <w:sz w:val="25"/>
                <w:szCs w:val="25"/>
                <w:lang w:val="en-GB" w:eastAsia="zh-CN" w:bidi="ar-SA"/>
              </w:rPr>
            </w:pPr>
            <w:r>
              <w:rPr>
                <w:rFonts w:hint="default" w:ascii="Times New Roman" w:hAnsi="Times New Roman" w:eastAsia="楷体" w:cs="Times New Roman"/>
                <w:spacing w:val="8"/>
                <w:position w:val="22"/>
                <w:sz w:val="28"/>
                <w:szCs w:val="28"/>
                <w:lang w:val="en-GB" w:eastAsia="zh-CN" w:bidi="ar-SA"/>
              </w:rPr>
              <w:t>奖励措施</w:t>
            </w:r>
          </w:p>
        </w:tc>
        <w:tc>
          <w:tcPr>
            <w:tcW w:w="6840" w:type="dxa"/>
          </w:tcPr>
          <w:p>
            <w:pPr>
              <w:adjustRightInd w:val="0"/>
              <w:snapToGrid w:val="0"/>
              <w:spacing w:line="400" w:lineRule="exact"/>
              <w:ind w:firstLine="480" w:firstLineChars="200"/>
              <w:jc w:val="left"/>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擂主”团队：在获得金奖的团队中，将按照比赛最佳成绩选择一个团队作为“擂主”团队，进行后期的创业实践。该团队将获得额外的实践机会和资金支持，将在比赛结束后与该团队签订合作协议时进行兑现。这些奖励措施将根据该团队的具体需求和实际情况进行定制化安排，以便更好地将创意转化为实际产品或服务。</w:t>
            </w:r>
          </w:p>
          <w:p>
            <w:pPr>
              <w:adjustRightInd w:val="0"/>
              <w:snapToGrid w:val="0"/>
              <w:spacing w:line="400" w:lineRule="exact"/>
              <w:ind w:firstLine="480" w:firstLineChars="200"/>
              <w:jc w:val="left"/>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实践机会、就业岗位：获奖团队成员将获得实践机会和就业岗位的推荐。与相关企业和机构合作，为获奖团队成员提供实习和就业机会，帮助他们更好地实现个人职业发展。</w:t>
            </w:r>
          </w:p>
          <w:p>
            <w:pPr>
              <w:adjustRightInd w:val="0"/>
              <w:snapToGrid w:val="0"/>
              <w:spacing w:line="400" w:lineRule="exact"/>
              <w:ind w:firstLine="480" w:firstLineChars="200"/>
              <w:jc w:val="left"/>
              <w:rPr>
                <w:rFonts w:hint="default" w:ascii="Times New Roman" w:hAnsi="Times New Roman" w:eastAsia="仿宋" w:cs="Times New Roman"/>
                <w:sz w:val="24"/>
                <w:szCs w:val="24"/>
                <w:lang w:val="en-GB" w:eastAsia="zh-CN" w:bidi="ar-SA"/>
              </w:rPr>
            </w:pPr>
            <w:r>
              <w:rPr>
                <w:rFonts w:hint="default" w:ascii="Times New Roman" w:hAnsi="Times New Roman" w:eastAsia="仿宋" w:cs="Times New Roman"/>
                <w:sz w:val="24"/>
                <w:szCs w:val="24"/>
                <w:lang w:val="en-GB" w:eastAsia="zh-CN" w:bidi="ar-SA"/>
              </w:rPr>
              <w:t>人才引进：对于优秀的获奖团队成员，将积极推荐给相关企业和机构，并为其提供人才引进政策的支持和求职“绿色通道”。</w:t>
            </w:r>
          </w:p>
          <w:p>
            <w:pPr>
              <w:adjustRightInd w:val="0"/>
              <w:snapToGrid w:val="0"/>
              <w:spacing w:line="400" w:lineRule="exact"/>
              <w:ind w:firstLine="480" w:firstLineChars="200"/>
              <w:jc w:val="left"/>
              <w:rPr>
                <w:rFonts w:hint="default" w:ascii="Times New Roman" w:hAnsi="Times New Roman" w:eastAsia="宋体" w:cs="Times New Roman"/>
                <w:sz w:val="25"/>
                <w:szCs w:val="25"/>
                <w:lang w:val="en-GB" w:eastAsia="zh-CN" w:bidi="ar-SA"/>
              </w:rPr>
            </w:pPr>
            <w:r>
              <w:rPr>
                <w:rFonts w:hint="default" w:ascii="Times New Roman" w:hAnsi="Times New Roman" w:eastAsia="仿宋" w:cs="Times New Roman"/>
                <w:sz w:val="24"/>
                <w:szCs w:val="24"/>
                <w:lang w:val="en-GB" w:eastAsia="zh-CN" w:bidi="ar-SA"/>
              </w:rPr>
              <w:t>产教融合及成果孵化政策：将积极推动产教融合，促进获奖团队与产业界的合作与交流。同时，将为获奖团队提供成果孵化的政策支持，帮助其将创意转化为实际产品或服务，实现商业价值。</w:t>
            </w:r>
          </w:p>
        </w:tc>
      </w:tr>
    </w:tbl>
    <w:p>
      <w:pPr>
        <w:widowControl/>
        <w:adjustRightInd w:val="0"/>
        <w:snapToGrid w:val="0"/>
        <w:jc w:val="center"/>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-04</w:t>
      </w:r>
    </w:p>
    <w:p>
      <w:pPr>
        <w:widowControl/>
        <w:tabs>
          <w:tab w:val="left" w:pos="8640"/>
        </w:tabs>
        <w:adjustRightInd w:val="0"/>
        <w:snapToGrid w:val="0"/>
        <w:jc w:val="both"/>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8"/>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2607"/>
        <w:gridCol w:w="1390"/>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513" w:type="dxa"/>
            <w:vAlign w:val="center"/>
          </w:tcPr>
          <w:p>
            <w:pPr>
              <w:widowControl/>
              <w:adjustRightInd w:val="0"/>
              <w:snapToGrid w:val="0"/>
              <w:spacing w:line="560" w:lineRule="exact"/>
              <w:jc w:val="center"/>
              <w:rPr>
                <w:rFonts w:hint="default" w:ascii="Times New Roman" w:hAnsi="Times New Roman" w:eastAsia="方正楷体简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北京汽车集团有限公司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513" w:type="dxa"/>
            <w:vAlign w:val="center"/>
          </w:tcPr>
          <w:p>
            <w:pPr>
              <w:widowControl/>
              <w:adjustRightInd w:val="0"/>
              <w:snapToGri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13" w:type="dxa"/>
            <w:vAlign w:val="center"/>
          </w:tcPr>
          <w:p>
            <w:pPr>
              <w:widowControl/>
              <w:adjustRightInd w:val="0"/>
              <w:snapToGri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北京市顺义区双河大街99号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0" w:hRule="atLeast"/>
          <w:jc w:val="center"/>
        </w:trPr>
        <w:tc>
          <w:tcPr>
            <w:tcW w:w="1513" w:type="dxa"/>
            <w:vAlign w:val="center"/>
          </w:tcPr>
          <w:p>
            <w:pPr>
              <w:widowControl/>
              <w:adjustRightInd w:val="0"/>
              <w:snapToGri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汽车集团有限公司是中国汽车行业的骨干企业，成立于1958年，总部位于北京。现已发展成长为年营业收入5000亿元左右、连续11年入围世界500强的大型企业集团，建立起涵盖整车及零部件研发制造、汽车服务贸易、综合出行服务、金融与投资等业务的完整产业链，具有“汽车产品品种全、新能源汽车市场保有量名列前茅”的鲜明特点。</w:t>
            </w:r>
          </w:p>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北汽集团现聚焦整车、零部件、服务贸易三大主营业务，旗下拥有自主乘用车——ARCFOX极狐、BEIJING、北京；自主商用车——北汽福田、昌河汽车；合资品牌——北京奔驰、福建奔驰、北京现代、福田戴姆勒，产品累计销量突破3100万辆，销往全球110个国家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513" w:type="dxa"/>
            <w:vAlign w:val="center"/>
          </w:tcPr>
          <w:p>
            <w:pPr>
              <w:widowControl/>
              <w:adjustRightInd w:val="0"/>
              <w:snapToGrid w:val="0"/>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联系人</w:t>
            </w:r>
          </w:p>
        </w:tc>
        <w:tc>
          <w:tcPr>
            <w:tcW w:w="2607" w:type="dxa"/>
            <w:vAlign w:val="center"/>
          </w:tcPr>
          <w:p>
            <w:pPr>
              <w:widowControl/>
              <w:adjustRightInd w:val="0"/>
              <w:snapToGrid w:val="0"/>
              <w:jc w:val="center"/>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笪老师</w:t>
            </w:r>
          </w:p>
        </w:tc>
        <w:tc>
          <w:tcPr>
            <w:tcW w:w="1390" w:type="dxa"/>
            <w:vAlign w:val="center"/>
          </w:tcPr>
          <w:p>
            <w:pPr>
              <w:widowControl/>
              <w:adjustRightInd w:val="0"/>
              <w:snapToGrid w:val="0"/>
              <w:spacing w:line="240" w:lineRule="auto"/>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联系方式</w:t>
            </w:r>
          </w:p>
        </w:tc>
        <w:tc>
          <w:tcPr>
            <w:tcW w:w="2935" w:type="dxa"/>
            <w:vAlign w:val="center"/>
          </w:tcPr>
          <w:p>
            <w:pPr>
              <w:widowControl/>
              <w:adjustRightInd w:val="0"/>
              <w:snapToGrid w:val="0"/>
              <w:jc w:val="center"/>
              <w:rPr>
                <w:rFonts w:hint="default" w:ascii="Times New Roman" w:hAnsi="Times New Roman" w:eastAsia="方正仿宋简体" w:cs="Times New Roman"/>
                <w:kern w:val="0"/>
                <w:sz w:val="24"/>
                <w:lang w:val="en-GB"/>
              </w:rPr>
            </w:pPr>
            <w:r>
              <w:rPr>
                <w:rFonts w:hint="default" w:ascii="Times New Roman" w:hAnsi="Times New Roman" w:eastAsia="方正仿宋简体" w:cs="Times New Roman"/>
                <w:kern w:val="0"/>
                <w:sz w:val="24"/>
                <w:lang w:val="en-GB"/>
              </w:rPr>
              <w:t>18611131074</w:t>
            </w:r>
          </w:p>
        </w:tc>
      </w:tr>
    </w:tbl>
    <w:p>
      <w:pPr>
        <w:widowControl/>
        <w:tabs>
          <w:tab w:val="left" w:pos="8640"/>
        </w:tabs>
        <w:adjustRightInd w:val="0"/>
        <w:snapToGrid w:val="0"/>
        <w:spacing w:line="560" w:lineRule="exact"/>
        <w:jc w:val="both"/>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both"/>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918"/>
        <w:gridCol w:w="66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918"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09" w:type="dxa"/>
            <w:tcBorders>
              <w:tl2br w:val="nil"/>
              <w:tr2bl w:val="nil"/>
            </w:tcBorders>
            <w:shd w:val="clear" w:color="auto" w:fill="FFFFFF"/>
            <w:vAlign w:val="center"/>
          </w:tcPr>
          <w:p>
            <w:pPr>
              <w:widowControl/>
              <w:adjustRightInd w:val="0"/>
              <w:snapToGrid/>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AI大模型车载数字人助理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567" w:hRule="atLeast"/>
          <w:jc w:val="center"/>
        </w:trPr>
        <w:tc>
          <w:tcPr>
            <w:tcW w:w="1918"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09" w:type="dxa"/>
            <w:tcBorders>
              <w:tl2br w:val="nil"/>
              <w:tr2bl w:val="nil"/>
            </w:tcBorders>
            <w:shd w:val="clear" w:color="auto" w:fill="FFFFFF"/>
            <w:vAlign w:val="center"/>
          </w:tcPr>
          <w:p>
            <w:pPr>
              <w:widowControl/>
              <w:adjustRightInd w:val="0"/>
              <w:snapToGrid/>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计算机科学、网络工程、通信电子、工业设计、车辆工程、机械工程等相关专业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771" w:hRule="atLeast"/>
          <w:jc w:val="center"/>
        </w:trPr>
        <w:tc>
          <w:tcPr>
            <w:tcW w:w="1918"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09" w:type="dxa"/>
            <w:tcBorders>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eastAsia="zh-Hans"/>
              </w:rPr>
              <w:t>《新一代人工智能发展规划》：该政策由科技部发布，提出到2025年，人工智能基础理论实现重大突破，部分技术与应用达到世界领先水平，人工智能成为带动我国产业升级和经济转型的主要动力，智能社会建设取得积极进展。其中，大模型作为人工智能的重要技术，被视为推动人工智能发展的重要力量</w:t>
            </w:r>
            <w:r>
              <w:rPr>
                <w:rFonts w:hint="default" w:ascii="Times New Roman" w:hAnsi="Times New Roman" w:eastAsia="仿宋" w:cs="Times New Roman"/>
                <w:kern w:val="0"/>
                <w:sz w:val="24"/>
                <w:lang w:val="en-US"/>
              </w:rPr>
              <w:t>；</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eastAsia="zh-Hans"/>
              </w:rPr>
              <w:t>大模型的快速兴起及广泛应用对</w:t>
            </w:r>
            <w:r>
              <w:rPr>
                <w:rFonts w:hint="default" w:ascii="Times New Roman" w:hAnsi="Times New Roman" w:eastAsia="仿宋" w:cs="Times New Roman"/>
                <w:kern w:val="0"/>
                <w:sz w:val="24"/>
                <w:lang w:val="en-US"/>
              </w:rPr>
              <w:t>车载</w:t>
            </w:r>
            <w:r>
              <w:rPr>
                <w:rFonts w:hint="default" w:ascii="Times New Roman" w:hAnsi="Times New Roman" w:eastAsia="仿宋" w:cs="Times New Roman"/>
                <w:kern w:val="0"/>
                <w:sz w:val="24"/>
                <w:lang w:val="en-US" w:eastAsia="zh-Hans"/>
              </w:rPr>
              <w:t>智能座舱发展带来了机遇和挑战，基于大模型的数字人</w:t>
            </w:r>
            <w:r>
              <w:rPr>
                <w:rFonts w:hint="default" w:ascii="Times New Roman" w:hAnsi="Times New Roman" w:eastAsia="仿宋" w:cs="Times New Roman"/>
                <w:kern w:val="0"/>
                <w:sz w:val="24"/>
                <w:lang w:val="en-US"/>
              </w:rPr>
              <w:t>助理</w:t>
            </w:r>
            <w:r>
              <w:rPr>
                <w:rFonts w:hint="default" w:ascii="Times New Roman" w:hAnsi="Times New Roman" w:eastAsia="仿宋" w:cs="Times New Roman"/>
                <w:kern w:val="0"/>
                <w:sz w:val="24"/>
                <w:lang w:val="en-US" w:eastAsia="zh-Hans"/>
              </w:rPr>
              <w:t>智能语音系统：以语音为入口赋能智能座舱，使座舱服务个性化定制成为可能，拟人化交互和丰富生态调用将成为提升用户体验的核心关键</w:t>
            </w:r>
            <w:r>
              <w:rPr>
                <w:rFonts w:hint="default" w:ascii="Times New Roman" w:hAnsi="Times New Roman" w:eastAsia="仿宋" w:cs="Times New Roman"/>
                <w:kern w:val="0"/>
                <w:sz w:val="24"/>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95" w:hRule="atLeast"/>
          <w:jc w:val="center"/>
        </w:trPr>
        <w:tc>
          <w:tcPr>
            <w:tcW w:w="1918"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09" w:type="dxa"/>
            <w:tcBorders>
              <w:bottom w:val="single" w:color="auto" w:sz="4" w:space="0"/>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eastAsia="zh-Hans"/>
              </w:rPr>
            </w:pPr>
            <w:r>
              <w:rPr>
                <w:rFonts w:hint="default" w:ascii="Times New Roman" w:hAnsi="Times New Roman" w:eastAsia="仿宋" w:cs="Times New Roman"/>
                <w:kern w:val="0"/>
                <w:sz w:val="24"/>
                <w:lang w:val="en-US" w:eastAsia="zh-Hans"/>
              </w:rPr>
              <w:t>充分发挥大模型在识别理解、自然语言处理、图像识别等方面的优势，高效整合转化智能用车场景下用户需求、用户“旅程”所产生的数据内容，对生产方向和市场趋势把握提供指导性作用。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36" w:hRule="atLeast"/>
          <w:jc w:val="center"/>
        </w:trPr>
        <w:tc>
          <w:tcPr>
            <w:tcW w:w="1918" w:type="dxa"/>
            <w:tcBorders>
              <w:right w:val="single" w:color="auto" w:sz="4" w:space="0"/>
              <w:tl2br w:val="nil"/>
              <w:tr2bl w:val="nil"/>
            </w:tcBorders>
            <w:shd w:val="clear" w:color="auto" w:fill="auto"/>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eastAsia="zh-Hans"/>
              </w:rPr>
            </w:pPr>
            <w:r>
              <w:rPr>
                <w:rFonts w:hint="default" w:ascii="Times New Roman" w:hAnsi="Times New Roman" w:eastAsia="仿宋" w:cs="Times New Roman"/>
                <w:kern w:val="0"/>
                <w:sz w:val="24"/>
                <w:lang w:val="en-US" w:eastAsia="zh-Hans"/>
              </w:rPr>
              <w:t>结合当前智能电动汽车发展情况和趋势，采样分析真实用户用车需求，并通过产品化的形式，转化用户需求形成可提升用户体验的设计方案</w:t>
            </w:r>
            <w:r>
              <w:rPr>
                <w:rFonts w:hint="default" w:ascii="Times New Roman" w:hAnsi="Times New Roman" w:eastAsia="仿宋" w:cs="Times New Roman"/>
                <w:kern w:val="0"/>
                <w:sz w:val="24"/>
                <w:lang w:val="en-US"/>
              </w:rPr>
              <w:t>：</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eastAsia="zh-Hans"/>
              </w:rPr>
              <w:t>基于大模型的数字人</w:t>
            </w:r>
            <w:r>
              <w:rPr>
                <w:rFonts w:hint="default" w:ascii="Times New Roman" w:hAnsi="Times New Roman" w:eastAsia="仿宋" w:cs="Times New Roman"/>
                <w:kern w:val="0"/>
                <w:sz w:val="24"/>
                <w:lang w:val="en-US"/>
              </w:rPr>
              <w:t>车载</w:t>
            </w:r>
            <w:r>
              <w:rPr>
                <w:rFonts w:hint="default" w:ascii="Times New Roman" w:hAnsi="Times New Roman" w:eastAsia="仿宋" w:cs="Times New Roman"/>
                <w:kern w:val="0"/>
                <w:sz w:val="24"/>
                <w:lang w:val="en-US" w:eastAsia="zh-Hans"/>
              </w:rPr>
              <w:t>智能语音系统</w:t>
            </w:r>
            <w:r>
              <w:rPr>
                <w:rFonts w:hint="default" w:ascii="Times New Roman" w:hAnsi="Times New Roman" w:eastAsia="仿宋" w:cs="Times New Roman"/>
                <w:kern w:val="0"/>
                <w:sz w:val="24"/>
                <w:lang w:val="en-US"/>
              </w:rPr>
              <w:t>，</w:t>
            </w:r>
            <w:r>
              <w:rPr>
                <w:rFonts w:hint="default" w:ascii="Times New Roman" w:hAnsi="Times New Roman" w:eastAsia="仿宋" w:cs="Times New Roman"/>
                <w:kern w:val="0"/>
                <w:sz w:val="24"/>
                <w:lang w:val="en-US" w:eastAsia="zh-Hans"/>
              </w:rPr>
              <w:t>以语音为入口</w:t>
            </w:r>
            <w:r>
              <w:rPr>
                <w:rFonts w:hint="default" w:ascii="Times New Roman" w:hAnsi="Times New Roman" w:eastAsia="仿宋" w:cs="Times New Roman"/>
                <w:kern w:val="0"/>
                <w:sz w:val="24"/>
                <w:lang w:val="en-US"/>
              </w:rPr>
              <w:t>，可</w:t>
            </w:r>
            <w:r>
              <w:rPr>
                <w:rFonts w:hint="default" w:ascii="Times New Roman" w:hAnsi="Times New Roman" w:eastAsia="仿宋" w:cs="Times New Roman"/>
                <w:kern w:val="0"/>
                <w:sz w:val="24"/>
                <w:lang w:val="en-US" w:eastAsia="zh-Hans"/>
              </w:rPr>
              <w:t>感知用户情绪和意图，利用大模型的自然语言理解、</w:t>
            </w:r>
            <w:r>
              <w:rPr>
                <w:rFonts w:hint="default" w:ascii="Times New Roman" w:hAnsi="Times New Roman" w:eastAsia="仿宋" w:cs="Times New Roman"/>
                <w:kern w:val="0"/>
                <w:sz w:val="24"/>
                <w:lang w:val="en-US"/>
              </w:rPr>
              <w:t>完成对用户使用在车内使用场景的覆盖及创新创意；</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eastAsia="zh-Hans"/>
              </w:rPr>
            </w:pPr>
            <w:r>
              <w:rPr>
                <w:rFonts w:hint="default" w:ascii="Times New Roman" w:hAnsi="Times New Roman" w:eastAsia="仿宋" w:cs="Times New Roman"/>
                <w:kern w:val="0"/>
                <w:sz w:val="24"/>
                <w:lang w:val="en-US" w:eastAsia="zh-Hans"/>
              </w:rPr>
              <w:t>通过数字人的表情、动作、语气和话术给予用户情感反馈，生成适合用户当前心情的情景模式推荐符合当前场景的服务</w:t>
            </w:r>
            <w:r>
              <w:rPr>
                <w:rFonts w:hint="default" w:ascii="Times New Roman" w:hAnsi="Times New Roman" w:eastAsia="仿宋" w:cs="Times New Roman"/>
                <w:kern w:val="0"/>
                <w:sz w:val="24"/>
                <w:lang w:val="en-US"/>
              </w:rPr>
              <w:t>。</w:t>
            </w:r>
          </w:p>
          <w:p>
            <w:pPr>
              <w:widowControl/>
              <w:adjustRightInd w:val="0"/>
              <w:snapToGrid/>
              <w:spacing w:line="400" w:lineRule="exact"/>
              <w:ind w:firstLine="482" w:firstLineChars="200"/>
              <w:jc w:val="left"/>
              <w:rPr>
                <w:rFonts w:hint="default" w:ascii="Times New Roman" w:hAnsi="Times New Roman" w:eastAsia="仿宋" w:cs="Times New Roman"/>
                <w:b/>
                <w:bCs/>
                <w:kern w:val="0"/>
                <w:sz w:val="24"/>
                <w:lang w:val="en-US" w:eastAsia="zh-Hans"/>
              </w:rPr>
            </w:pPr>
            <w:r>
              <w:rPr>
                <w:rFonts w:hint="default" w:ascii="Times New Roman" w:hAnsi="Times New Roman" w:eastAsia="仿宋" w:cs="Times New Roman"/>
                <w:b/>
                <w:bCs/>
                <w:kern w:val="0"/>
                <w:sz w:val="24"/>
                <w:lang w:val="en-US" w:eastAsia="zh-Hans"/>
              </w:rPr>
              <w:t>作品要求：</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1.本工作涉及交叉学科不限，可自由组队。</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2.完成作品的过程需包括调研、统计、数据分析、设计等环节。</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3.作品应包括设计方案及原始调研信息，并包含方法论的总结。</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4.设计方案</w:t>
            </w:r>
            <w:r>
              <w:rPr>
                <w:rFonts w:hint="eastAsia" w:eastAsia="仿宋" w:cs="Times New Roman"/>
                <w:kern w:val="0"/>
                <w:sz w:val="24"/>
                <w:lang w:val="en-US" w:eastAsia="zh-CN"/>
              </w:rPr>
              <w:t>需要</w:t>
            </w:r>
            <w:r>
              <w:rPr>
                <w:rFonts w:hint="default" w:ascii="Times New Roman" w:hAnsi="Times New Roman" w:eastAsia="仿宋" w:cs="Times New Roman"/>
                <w:kern w:val="0"/>
                <w:sz w:val="24"/>
                <w:lang w:val="en-US" w:eastAsia="zh-Hans"/>
              </w:rPr>
              <w:t>给出具体的设计方案或</w:t>
            </w:r>
            <w:r>
              <w:rPr>
                <w:rFonts w:hint="default" w:ascii="Times New Roman" w:hAnsi="Times New Roman" w:eastAsia="仿宋" w:cs="Times New Roman"/>
                <w:kern w:val="0"/>
                <w:sz w:val="24"/>
                <w:lang w:val="en-US"/>
              </w:rPr>
              <w:t>用例</w:t>
            </w:r>
            <w:r>
              <w:rPr>
                <w:rFonts w:hint="default" w:ascii="Times New Roman" w:hAnsi="Times New Roman" w:eastAsia="仿宋" w:cs="Times New Roman"/>
                <w:kern w:val="0"/>
                <w:sz w:val="24"/>
                <w:lang w:val="en-US" w:eastAsia="zh-Hans"/>
              </w:rPr>
              <w:t>图，并阐述设计思路和用户体验方式；</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5.设计工具</w:t>
            </w:r>
            <w:r>
              <w:rPr>
                <w:rFonts w:hint="default" w:ascii="Times New Roman" w:hAnsi="Times New Roman" w:eastAsia="仿宋" w:cs="Times New Roman"/>
                <w:kern w:val="0"/>
                <w:sz w:val="24"/>
                <w:lang w:val="en-US" w:eastAsia="zh-Hans"/>
              </w:rPr>
              <w:t>可使用包括但不限于：</w:t>
            </w:r>
            <w:r>
              <w:rPr>
                <w:rFonts w:hint="default" w:ascii="Times New Roman" w:hAnsi="Times New Roman" w:eastAsia="仿宋" w:cs="Times New Roman"/>
                <w:kern w:val="0"/>
                <w:sz w:val="24"/>
                <w:lang w:val="en-US"/>
              </w:rPr>
              <w:t>CG</w:t>
            </w:r>
            <w:r>
              <w:rPr>
                <w:rFonts w:hint="default" w:ascii="Times New Roman" w:hAnsi="Times New Roman" w:eastAsia="仿宋" w:cs="Times New Roman"/>
                <w:kern w:val="0"/>
                <w:sz w:val="24"/>
                <w:lang w:val="en-US" w:eastAsia="zh-Hans"/>
              </w:rPr>
              <w:t>软件，3</w:t>
            </w:r>
            <w:r>
              <w:rPr>
                <w:rFonts w:hint="default" w:ascii="Times New Roman" w:hAnsi="Times New Roman" w:eastAsia="仿宋" w:cs="Times New Roman"/>
                <w:kern w:val="0"/>
                <w:sz w:val="24"/>
                <w:lang w:val="en-US"/>
              </w:rPr>
              <w:t>D</w:t>
            </w:r>
            <w:r>
              <w:rPr>
                <w:rFonts w:hint="default" w:ascii="Times New Roman" w:hAnsi="Times New Roman" w:eastAsia="仿宋" w:cs="Times New Roman"/>
                <w:kern w:val="0"/>
                <w:sz w:val="24"/>
                <w:lang w:val="en-US" w:eastAsia="zh-Hans"/>
              </w:rPr>
              <w:t>引擎，可视化编程软件或视频短片等，配合展示设计成果。</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最终作品以PPT的方式汇总呈现。</w:t>
            </w:r>
          </w:p>
        </w:tc>
      </w:tr>
    </w:tbl>
    <w:p>
      <w:pPr>
        <w:widowControl/>
        <w:tabs>
          <w:tab w:val="left" w:pos="8640"/>
        </w:tabs>
        <w:adjustRightInd w:val="0"/>
        <w:snapToGrid w:val="0"/>
        <w:spacing w:line="440" w:lineRule="exact"/>
        <w:jc w:val="both"/>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440" w:lineRule="exact"/>
        <w:jc w:val="both"/>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both"/>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both"/>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both"/>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both"/>
        <w:rPr>
          <w:rFonts w:hint="default" w:ascii="Times New Roman" w:hAnsi="Times New Roman" w:eastAsia="黑体" w:cs="Times New Roman"/>
          <w:bCs/>
          <w:spacing w:val="6"/>
          <w:w w:val="90"/>
          <w:kern w:val="0"/>
          <w:sz w:val="24"/>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665"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指导措施</w:t>
            </w:r>
          </w:p>
        </w:tc>
        <w:tc>
          <w:tcPr>
            <w:tcW w:w="6689" w:type="dxa"/>
            <w:tcBorders>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1.可为参赛团队提供极狐汽车智能座舱实车体验讲解，以及创意方案指导；</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2.可为参赛团队成员提供线上答疑解惑。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764"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奖励措施</w:t>
            </w:r>
          </w:p>
        </w:tc>
        <w:tc>
          <w:tcPr>
            <w:tcW w:w="6689" w:type="dxa"/>
            <w:tcBorders>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1.获奖成员可优先获得在校期间实习机会；</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2.获奖成员毕业后可优先获得就业机会；</w:t>
            </w:r>
          </w:p>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3.获奖成员可直接获得2023年下半年由北汽集团组织的“全国大学生新能源汽车设计大赛”的参赛资格，并依据比赛结果获得大赛相应奖励。</w:t>
            </w:r>
          </w:p>
        </w:tc>
      </w:tr>
    </w:tbl>
    <w:p>
      <w:pPr>
        <w:widowControl/>
        <w:adjustRightInd w:val="0"/>
        <w:snapToGrid w:val="0"/>
        <w:jc w:val="center"/>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44"/>
          <w:szCs w:val="44"/>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-05</w:t>
      </w: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01"/>
        <w:gridCol w:w="144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shd w:val="clear" w:color="auto" w:fill="FFFFFF"/>
              <w:adjustRightInd w:val="0"/>
              <w:snapToGrid w:val="0"/>
              <w:spacing w:beforeAutospacing="0" w:after="60" w:afterAutospacing="0" w:line="330" w:lineRule="atLeast"/>
              <w:jc w:val="center"/>
              <w:outlineLvl w:val="2"/>
              <w:rPr>
                <w:rFonts w:hint="default" w:ascii="Times New Roman" w:hAnsi="Times New Roman" w:eastAsia="仿宋" w:cs="Times New Roman"/>
                <w:b w:val="0"/>
                <w:bCs w:val="0"/>
                <w:sz w:val="24"/>
                <w:szCs w:val="24"/>
                <w:lang w:val="en-GB" w:eastAsia="zh-CN" w:bidi="ar-SA"/>
              </w:rPr>
            </w:pPr>
            <w:r>
              <w:rPr>
                <w:rFonts w:hint="default" w:ascii="Times New Roman" w:hAnsi="Times New Roman" w:eastAsia="宋体" w:cs="Times New Roman"/>
                <w:b/>
                <w:bCs/>
                <w:sz w:val="27"/>
                <w:szCs w:val="27"/>
                <w:lang w:val="en-US" w:eastAsia="zh-CN" w:bidi="ar-SA"/>
              </w:rPr>
              <w:fldChar w:fldCharType="begin"/>
            </w:r>
            <w:r>
              <w:rPr>
                <w:rFonts w:hint="default" w:ascii="Times New Roman" w:hAnsi="Times New Roman" w:eastAsia="宋体" w:cs="Times New Roman"/>
                <w:b/>
                <w:bCs/>
                <w:sz w:val="27"/>
                <w:szCs w:val="27"/>
                <w:lang w:val="en-US" w:eastAsia="zh-CN" w:bidi="ar-SA"/>
              </w:rPr>
              <w:instrText xml:space="preserve"> HYPERLINK "https://aiqicha.baidu.com/detail/compinfo?pid=65181646523693&amp;rq=ef&amp;pd=ee&amp;from=ps&amp;query=%E5%8C%97%E4%BA%AC%E6%98%9F%E6%B2%B3%E5%8A%A8%E5%8A%9B%E8%88%AA%E5%A4%A9%E7%A7%91%E6%8A%80%E8%82%A1%E4%BB%BD%E6%9C%89%E9%99%90%E5%85%AC%E5%8F%B8" \t "https://www.baidu.com/_blank" </w:instrText>
            </w:r>
            <w:r>
              <w:rPr>
                <w:rFonts w:hint="default" w:ascii="Times New Roman" w:hAnsi="Times New Roman" w:eastAsia="宋体" w:cs="Times New Roman"/>
                <w:b/>
                <w:bCs/>
                <w:sz w:val="27"/>
                <w:szCs w:val="27"/>
                <w:lang w:val="en-US" w:eastAsia="zh-CN" w:bidi="ar-SA"/>
              </w:rPr>
              <w:fldChar w:fldCharType="separate"/>
            </w:r>
            <w:r>
              <w:rPr>
                <w:rFonts w:hint="default" w:ascii="Times New Roman" w:hAnsi="Times New Roman" w:eastAsia="仿宋" w:cs="Times New Roman"/>
                <w:b w:val="0"/>
                <w:bCs w:val="0"/>
                <w:sz w:val="24"/>
                <w:szCs w:val="24"/>
                <w:lang w:val="en-GB" w:eastAsia="zh-CN" w:bidi="ar-SA"/>
              </w:rPr>
              <w:t>北京星河动力航天科技股份有限公司</w:t>
            </w:r>
            <w:r>
              <w:rPr>
                <w:rFonts w:hint="default" w:ascii="Times New Roman" w:hAnsi="Times New Roman" w:eastAsia="仿宋" w:cs="Times New Roman"/>
                <w:b w:val="0"/>
                <w:bCs w:val="0"/>
                <w:sz w:val="24"/>
                <w:szCs w:val="24"/>
                <w:lang w:val="en-GB"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北京市亦庄开发区中航技广场4层&amp;9层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星河动力航天是国内领先的商业航天技术公司，是国家级专精特新小巨人企业、国家高新技 术企业和中关村金种子企业。</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公司主要为国内外航天领域客户提供高效、可靠的航天发射服务，先进的航天装备制造，高性能产品配套，和广泛的工程、技术、安全、系统集成等领域系统化解决方案。</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公司核心产品包括“智神星”系列中型重复使用液体运载火箭、“谷神星”系列轻小型固体运载 火箭等。</w:t>
            </w:r>
          </w:p>
          <w:p>
            <w:pPr>
              <w:widowControl/>
              <w:adjustRightInd w:val="0"/>
              <w:snapToGrid w:val="0"/>
              <w:spacing w:line="400" w:lineRule="exact"/>
              <w:ind w:firstLine="480" w:firstLineChars="200"/>
              <w:jc w:val="left"/>
              <w:rPr>
                <w:rFonts w:hint="default" w:ascii="Times New Roman" w:hAnsi="Times New Roman" w:eastAsia="宋体" w:cs="Times New Roman"/>
                <w:bCs/>
                <w:spacing w:val="6"/>
                <w:kern w:val="0"/>
                <w:sz w:val="24"/>
                <w:szCs w:val="28"/>
                <w:lang w:val="en-GB"/>
              </w:rPr>
            </w:pPr>
            <w:r>
              <w:rPr>
                <w:rFonts w:hint="default" w:ascii="Times New Roman" w:hAnsi="Times New Roman" w:eastAsia="仿宋" w:cs="Times New Roman"/>
                <w:kern w:val="0"/>
                <w:sz w:val="24"/>
                <w:lang w:val="en-US"/>
              </w:rPr>
              <w:t>在航天发射业务方面，公司创造了国内首家实现连续多次发射成功、首家将商业组网卫星送入 500km 太阳同步轨道、首家掌握一箭多星发射能力等多个行业第一，将持续为国内外蓬勃发展的航天发射市场提供高可靠、高性价比的航天发射服务。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联系人</w:t>
            </w:r>
          </w:p>
        </w:tc>
        <w:tc>
          <w:tcPr>
            <w:tcW w:w="2701" w:type="dxa"/>
            <w:vAlign w:val="center"/>
          </w:tcPr>
          <w:p>
            <w:pPr>
              <w:widowControl/>
              <w:adjustRightInd w:val="0"/>
              <w:snapToGrid w:val="0"/>
              <w:jc w:val="center"/>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kern w:val="0"/>
                <w:sz w:val="24"/>
                <w:lang w:val="en-US"/>
              </w:rPr>
              <w:t>刘老师</w:t>
            </w:r>
          </w:p>
        </w:tc>
        <w:tc>
          <w:tcPr>
            <w:tcW w:w="1448" w:type="dxa"/>
            <w:vAlign w:val="center"/>
          </w:tcPr>
          <w:p>
            <w:pPr>
              <w:widowControl/>
              <w:adjustRightInd w:val="0"/>
              <w:snapToGrid w:val="0"/>
              <w:spacing w:line="240" w:lineRule="auto"/>
              <w:jc w:val="center"/>
              <w:rPr>
                <w:rFonts w:hint="default" w:ascii="Times New Roman" w:hAnsi="Times New Roman" w:eastAsia="方正楷体简体" w:cs="Times New Roman"/>
                <w:kern w:val="0"/>
                <w:sz w:val="28"/>
                <w:szCs w:val="32"/>
                <w:lang w:val="en-GB"/>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napToGrid w:val="0"/>
              <w:jc w:val="center"/>
              <w:rPr>
                <w:rFonts w:hint="default" w:ascii="Times New Roman" w:hAnsi="Times New Roman" w:eastAsia="方正仿宋简体" w:cs="Times New Roman"/>
                <w:kern w:val="0"/>
                <w:sz w:val="24"/>
                <w:lang w:val="en-US"/>
              </w:rPr>
            </w:pPr>
            <w:r>
              <w:rPr>
                <w:rFonts w:hint="default" w:ascii="Times New Roman" w:hAnsi="Times New Roman" w:eastAsia="方正仿宋简体" w:cs="Times New Roman"/>
                <w:kern w:val="0"/>
                <w:sz w:val="24"/>
                <w:lang w:val="en-US"/>
              </w:rPr>
              <w:t>15040365671</w:t>
            </w:r>
          </w:p>
        </w:tc>
      </w:tr>
    </w:tbl>
    <w:p>
      <w:pPr>
        <w:widowControl/>
        <w:tabs>
          <w:tab w:val="left" w:pos="8640"/>
        </w:tabs>
        <w:adjustRightInd w:val="0"/>
        <w:snapToGrid w:val="0"/>
        <w:spacing w:line="560" w:lineRule="exact"/>
        <w:jc w:val="both"/>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题目</w:t>
            </w:r>
          </w:p>
        </w:tc>
        <w:tc>
          <w:tcPr>
            <w:tcW w:w="6669"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完全重复使用航班化航天运输系统概念设计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567"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行业领域</w:t>
            </w:r>
          </w:p>
        </w:tc>
        <w:tc>
          <w:tcPr>
            <w:tcW w:w="6669"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商业航天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771"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近日，北京市人民政府办公厅印发《北京市加快商业航天创新发展行动方案（2024</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2028年）》（以下简称《行动方案》），释放出北京发展商业航天战略性新兴产业的强烈信号。</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低成本、高密度进入空间是人类规模化利用空间的必要条件。运载火箭是目前国内外进入空间的主要载运工具，相对航空、航海、铁路、公路运输</w:t>
            </w:r>
            <w:r>
              <w:rPr>
                <w:rFonts w:hint="eastAsia" w:eastAsia="仿宋" w:cs="Times New Roman"/>
                <w:kern w:val="0"/>
                <w:sz w:val="24"/>
                <w:lang w:val="en-US" w:eastAsia="zh-CN"/>
              </w:rPr>
              <w:t>等其他</w:t>
            </w:r>
            <w:r>
              <w:rPr>
                <w:rFonts w:hint="default" w:ascii="Times New Roman" w:hAnsi="Times New Roman" w:eastAsia="仿宋" w:cs="Times New Roman"/>
                <w:kern w:val="0"/>
                <w:sz w:val="24"/>
                <w:lang w:val="en-US"/>
              </w:rPr>
              <w:t>载运工具，存在发射成本高、发射准备时间长等不足，极大制约了规模化进入空间与利用空间。</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Falcon-9运载火箭的实践表明，一子级垂直回收重复使用是低成本进入空间的有效技术途径，但该技术范式在降低运载能力损失、提高发射频次、完全重复使用等方面仍有挖潜空间。</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针对运载火箭存在的上述不足，对标国际领先水平，开展完全重复使用航班化航天运输系统概念设计，论证提出具有原创性、原理可行的完全重复使用航班化航天运输系统总体方案，分析提炼关键技术与解决途径，实现航天运输系统完全重复使用与航班化发射。</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完全重复使用航班化航天运输系统应满足以下技术指标：</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1.运载能力不低于该系统一次性使用的50%；</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2.仅采用一子级回收重复使用飞行方案，运载能力不低于该系统一次性使用的85%；</w:t>
            </w:r>
          </w:p>
          <w:p>
            <w:pPr>
              <w:widowControl/>
              <w:adjustRightInd w:val="0"/>
              <w:snapToGrid w:val="0"/>
              <w:spacing w:line="400" w:lineRule="exact"/>
              <w:ind w:firstLine="480" w:firstLineChars="200"/>
              <w:jc w:val="left"/>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kern w:val="0"/>
                <w:sz w:val="24"/>
                <w:lang w:val="en-US"/>
              </w:rPr>
              <w:t>3.发射准备时间不超过1天。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95"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预期取得的</w:t>
            </w:r>
          </w:p>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1.降低商业航天火箭发射成本、提高发射密度；</w:t>
            </w:r>
          </w:p>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8"/>
                <w:szCs w:val="28"/>
                <w:lang w:val="en-GB"/>
              </w:rPr>
            </w:pPr>
            <w:r>
              <w:rPr>
                <w:rFonts w:hint="default" w:ascii="Times New Roman" w:hAnsi="Times New Roman" w:eastAsia="仿宋" w:cs="Times New Roman"/>
                <w:kern w:val="0"/>
                <w:sz w:val="24"/>
                <w:lang w:val="en-US"/>
              </w:rPr>
              <w:t>2.培育新时代大学生投身航天、建功航天的志向与素养。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1.提交完全重复使用航班化航天运输系统总体方案报告，明确航天运输系统完全重复使用技术途径，分析技术可行性与工程可行性，回答相关技术指标；</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2.完成完全重复使用航班化航天运输系统概念设计，提交总体方案报告；</w:t>
            </w:r>
          </w:p>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3.通过出题单位组织的总体方案报告评审。</w:t>
            </w:r>
          </w:p>
        </w:tc>
      </w:tr>
    </w:tbl>
    <w:p>
      <w:pPr>
        <w:widowControl/>
        <w:tabs>
          <w:tab w:val="left" w:pos="8640"/>
        </w:tabs>
        <w:adjustRightInd w:val="0"/>
        <w:snapToGrid w:val="0"/>
        <w:spacing w:line="440" w:lineRule="exact"/>
        <w:jc w:val="both"/>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979"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1.出题单位为参赛团队提供商业航天火箭相关专业系统培训，组织有资深专家和一线科研人员为参赛团队给予一定技术指导；</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2.出题单位组织参赛团队参观公司开展社会实践调研；</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3.出题单位可根据参赛团队需求提供一定不涉及国家秘密和商业机密的相关研究材料；</w:t>
            </w:r>
          </w:p>
          <w:p>
            <w:pPr>
              <w:widowControl/>
              <w:adjustRightInd w:val="0"/>
              <w:snapToGrid w:val="0"/>
              <w:spacing w:line="400" w:lineRule="exact"/>
              <w:ind w:firstLine="480" w:firstLineChars="200"/>
              <w:jc w:val="left"/>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kern w:val="0"/>
                <w:sz w:val="24"/>
                <w:lang w:val="en-US"/>
              </w:rPr>
              <w:t>4.出题单位可与参赛高校指导教师等联合组建课题组，共同指导参赛学生完成参赛任务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99"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1.为获奖团队提供商业航天纪念品；</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2.对于获奖团队中，有志投身商业航天的学生，开设企业人才引进绿色通道；</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3.为金奖团队提供商业火箭发射现场观摩的机会；</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4.为有志于在商业航天领域开展创业的金奖团队提供商业投资、政府产业基金的投融资渠道支持；</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5.与擂主团队签署校企合作框架，深入推动产教融合，开展商业航天领域技术与产业合作。</w:t>
            </w:r>
          </w:p>
          <w:p>
            <w:pPr>
              <w:widowControl/>
              <w:adjustRightInd w:val="0"/>
              <w:snapToGrid w:val="0"/>
              <w:ind w:firstLine="504" w:firstLineChars="200"/>
              <w:jc w:val="both"/>
              <w:rPr>
                <w:rFonts w:hint="default" w:ascii="Times New Roman" w:hAnsi="Times New Roman" w:eastAsia="方正仿宋简体" w:cs="Times New Roman"/>
                <w:bCs/>
                <w:spacing w:val="6"/>
                <w:kern w:val="0"/>
                <w:sz w:val="24"/>
                <w:szCs w:val="28"/>
                <w:lang w:val="en-US"/>
              </w:rPr>
            </w:pPr>
          </w:p>
        </w:tc>
      </w:tr>
    </w:tbl>
    <w:p>
      <w:pPr>
        <w:widowControl/>
        <w:adjustRightInd w:val="0"/>
        <w:snapToGrid w:val="0"/>
        <w:jc w:val="center"/>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-06</w:t>
      </w:r>
    </w:p>
    <w:p>
      <w:pPr>
        <w:widowControl/>
        <w:tabs>
          <w:tab w:val="left" w:pos="8640"/>
        </w:tabs>
        <w:adjustRightInd w:val="0"/>
        <w:snapToGrid w:val="0"/>
        <w:jc w:val="center"/>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jc w:val="center"/>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81"/>
        <w:gridCol w:w="156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华为技术有限公司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US"/>
              </w:rPr>
              <w:t>深圳市龙岗区坂田华为基地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left"/>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kern w:val="0"/>
                <w:sz w:val="24"/>
                <w:lang w:val="en-US"/>
              </w:rPr>
              <w:t>华为创立于1987年，是全球领先的ICT（信息与通信）基础设施和智能终端提供商。我们的20.7万员工遍及170多个国家和地区，为全球30多亿人口提供服务。我们致力于把数字世界带入每个人、每个家庭、每个组织，构建万物互联的智能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联系人</w:t>
            </w:r>
          </w:p>
        </w:tc>
        <w:tc>
          <w:tcPr>
            <w:tcW w:w="2581" w:type="dxa"/>
            <w:vAlign w:val="center"/>
          </w:tcPr>
          <w:p>
            <w:pPr>
              <w:widowControl/>
              <w:adjustRightInd w:val="0"/>
              <w:snapToGrid w:val="0"/>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kern w:val="0"/>
                <w:sz w:val="24"/>
                <w:lang w:val="en-US"/>
              </w:rPr>
              <w:t>高老师</w:t>
            </w:r>
          </w:p>
        </w:tc>
        <w:tc>
          <w:tcPr>
            <w:tcW w:w="1568"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napToGrid w:val="0"/>
              <w:jc w:val="center"/>
              <w:rPr>
                <w:rFonts w:hint="default" w:ascii="Times New Roman" w:hAnsi="Times New Roman" w:eastAsia="方正仿宋简体" w:cs="Times New Roman"/>
                <w:kern w:val="0"/>
                <w:sz w:val="24"/>
                <w:lang w:val="en-US"/>
              </w:rPr>
            </w:pPr>
            <w:r>
              <w:rPr>
                <w:rFonts w:hint="default" w:ascii="Times New Roman" w:hAnsi="Times New Roman" w:eastAsia="方正仿宋简体" w:cs="Times New Roman"/>
                <w:bCs/>
                <w:spacing w:val="6"/>
                <w:kern w:val="0"/>
                <w:sz w:val="24"/>
                <w:szCs w:val="28"/>
                <w:lang w:val="en-US"/>
              </w:rPr>
              <w:t>15618958021</w:t>
            </w:r>
          </w:p>
        </w:tc>
      </w:tr>
    </w:tbl>
    <w:p>
      <w:pPr>
        <w:widowControl/>
        <w:tabs>
          <w:tab w:val="left" w:pos="8640"/>
        </w:tabs>
        <w:adjustRightInd w:val="0"/>
        <w:snapToGrid w:val="0"/>
        <w:spacing w:line="560" w:lineRule="exact"/>
        <w:jc w:val="both"/>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both"/>
        <w:rPr>
          <w:rFonts w:hint="default" w:ascii="Times New Roman" w:hAnsi="Times New Roman" w:eastAsia="方正黑体简体" w:cs="Times New Roman"/>
          <w:bCs/>
          <w:spacing w:val="6"/>
          <w:kern w:val="0"/>
          <w:sz w:val="32"/>
          <w:szCs w:val="32"/>
          <w:lang w:val="en-GB"/>
        </w:rPr>
      </w:pPr>
      <w:r>
        <w:rPr>
          <w:rFonts w:hint="default" w:ascii="Times New Roman" w:hAnsi="Times New Roman" w:eastAsia="方正黑体简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napToGrid/>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鸿蒙原生应用静态代码分析框架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napToGrid/>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信息领域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spacing w:line="400" w:lineRule="exact"/>
              <w:ind w:firstLine="482"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b/>
                <w:bCs/>
                <w:kern w:val="0"/>
                <w:sz w:val="24"/>
                <w:lang w:val="en-US"/>
              </w:rPr>
              <w:t>背景：</w:t>
            </w:r>
            <w:r>
              <w:rPr>
                <w:rFonts w:hint="default" w:ascii="Times New Roman" w:hAnsi="Times New Roman" w:eastAsia="仿宋" w:cs="Times New Roman"/>
                <w:kern w:val="0"/>
                <w:sz w:val="24"/>
                <w:lang w:val="en-US"/>
              </w:rPr>
              <w:t>2023年8月4日，华为在其开发者大会上宣布HarmonyOS Next计划全面启动。HarmonyOS Next将摒弃Android生态，构筑具有自主知识产权的新型移动操作系统。鸿蒙Next系统将不再直接支持Android应用，而是选择支持全新的基于ArkTS新语言开发的鸿蒙原生应用。</w:t>
            </w:r>
          </w:p>
          <w:p>
            <w:pPr>
              <w:widowControl/>
              <w:adjustRightInd w:val="0"/>
              <w:snapToGrid/>
              <w:spacing w:line="400" w:lineRule="exact"/>
              <w:ind w:firstLine="482"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b/>
                <w:bCs/>
                <w:kern w:val="0"/>
                <w:sz w:val="24"/>
                <w:lang w:val="en-US"/>
              </w:rPr>
              <w:t>需求：</w:t>
            </w:r>
            <w:r>
              <w:rPr>
                <w:rFonts w:hint="default" w:ascii="Times New Roman" w:hAnsi="Times New Roman" w:eastAsia="仿宋" w:cs="Times New Roman"/>
                <w:kern w:val="0"/>
                <w:sz w:val="24"/>
                <w:lang w:val="en-US"/>
              </w:rPr>
              <w:t>基于新语言ArkTS的鸿蒙原生应用缺乏自动化代码分析工具支持，面临包括隐私泄露、性能不佳、质量欠缺等隐患。静态分析框架（比如面向Java和安卓的Soot框架）是实现前述系列自动化分析工具的基础。</w:t>
            </w:r>
          </w:p>
          <w:p>
            <w:pPr>
              <w:widowControl/>
              <w:adjustRightInd w:val="0"/>
              <w:snapToGrid/>
              <w:spacing w:line="400" w:lineRule="exact"/>
              <w:ind w:firstLine="482" w:firstLineChars="200"/>
              <w:jc w:val="left"/>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b/>
                <w:bCs/>
                <w:kern w:val="0"/>
                <w:sz w:val="24"/>
                <w:lang w:val="en-US"/>
              </w:rPr>
              <w:t>应用：</w:t>
            </w:r>
            <w:r>
              <w:rPr>
                <w:rFonts w:hint="default" w:ascii="Times New Roman" w:hAnsi="Times New Roman" w:eastAsia="仿宋" w:cs="Times New Roman"/>
                <w:kern w:val="0"/>
                <w:sz w:val="24"/>
                <w:lang w:val="en-US"/>
              </w:rPr>
              <w:t>面向原生鸿蒙应用的静态分析框架有诸多应用前景，比如能够支持隐私泄露工具的实现、性能反模式的自动检测、功能缺陷的检测与自动修复等。这些工具一方面能够继承在IDE，在开发态协助开发者快速发现并修复问题，也能集成月Git等代码仓，作为门禁确保高质量代码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方正仿宋简体" w:cs="Times New Roman"/>
                <w:kern w:val="0"/>
                <w:sz w:val="28"/>
                <w:szCs w:val="28"/>
                <w:lang w:val="en-US"/>
              </w:rPr>
            </w:pPr>
            <w:r>
              <w:rPr>
                <w:rFonts w:hint="default" w:ascii="Times New Roman" w:hAnsi="Times New Roman" w:eastAsia="仿宋" w:cs="Times New Roman"/>
                <w:kern w:val="0"/>
                <w:sz w:val="24"/>
                <w:lang w:val="en-US"/>
              </w:rPr>
              <w:t>静态分析框架可用于（包括但不限于）</w:t>
            </w:r>
            <w:r>
              <w:rPr>
                <w:rFonts w:hint="eastAsia" w:eastAsia="仿宋" w:cs="Times New Roman"/>
                <w:kern w:val="0"/>
                <w:sz w:val="24"/>
                <w:lang w:val="en-US" w:eastAsia="zh-CN"/>
              </w:rPr>
              <w:t>以下方面</w:t>
            </w:r>
            <w:r>
              <w:rPr>
                <w:rFonts w:hint="default" w:ascii="Times New Roman" w:hAnsi="Times New Roman" w:eastAsia="仿宋" w:cs="Times New Roman"/>
                <w:kern w:val="0"/>
                <w:sz w:val="24"/>
                <w:lang w:val="en-US"/>
              </w:rPr>
              <w:t>：（1）集成于IDE，提升鸿蒙原生应用的开发效率和质量；（2）继承于中心仓，作为门禁禁止低质量代码进入应用，并协助完成软件依赖分析及其供应链的管理；（3）集成于应用市场，作为门禁剔除低质量应用进入鸿蒙生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可运行的作品源码与使用说明文档。内容包含但不限于：（1）软件基本信息：标题、摘要、软件分类、应用领域等；（2）作品概述：项目背景、应用领域、设计思路、功能特点、体系架构、关键技术等；（3）其他与项目有关的内容。</w:t>
            </w:r>
          </w:p>
          <w:p>
            <w:pPr>
              <w:widowControl/>
              <w:adjustRightInd w:val="0"/>
              <w:snapToGrid w:val="0"/>
              <w:spacing w:line="400" w:lineRule="exact"/>
              <w:ind w:firstLine="480" w:firstLineChars="200"/>
              <w:jc w:val="both"/>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kern w:val="0"/>
                <w:sz w:val="24"/>
                <w:lang w:val="en-US"/>
              </w:rPr>
              <w:t>作品将依据分析框架提供功能的完备性、易用性以及分析结果的准确性等标准展开评判。</w:t>
            </w:r>
          </w:p>
        </w:tc>
      </w:tr>
    </w:tbl>
    <w:p>
      <w:pPr>
        <w:widowControl/>
        <w:tabs>
          <w:tab w:val="left" w:pos="8640"/>
        </w:tabs>
        <w:adjustRightInd w:val="0"/>
        <w:snapToGrid w:val="0"/>
        <w:spacing w:line="440" w:lineRule="exact"/>
        <w:jc w:val="both"/>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440" w:lineRule="exact"/>
        <w:jc w:val="both"/>
        <w:rPr>
          <w:rFonts w:hint="default" w:ascii="Times New Roman" w:hAnsi="Times New Roman" w:eastAsia="方正黑体简体" w:cs="Times New Roman"/>
          <w:bCs/>
          <w:spacing w:val="6"/>
          <w:kern w:val="0"/>
          <w:sz w:val="32"/>
          <w:szCs w:val="32"/>
          <w:lang w:val="en-GB"/>
        </w:rPr>
      </w:pPr>
      <w:r>
        <w:rPr>
          <w:rFonts w:hint="default" w:ascii="Times New Roman" w:hAnsi="Times New Roman" w:eastAsia="方正黑体简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配备专门指导人员并提供实验所需要的环境。</w:t>
            </w:r>
          </w:p>
          <w:p>
            <w:pPr>
              <w:widowControl/>
              <w:adjustRightInd w:val="0"/>
              <w:snapToGrid w:val="0"/>
              <w:jc w:val="both"/>
              <w:rPr>
                <w:rFonts w:hint="default" w:ascii="Times New Roman" w:hAnsi="Times New Roman" w:eastAsia="方正仿宋简体" w:cs="Times New Roman"/>
                <w:bCs/>
                <w:spacing w:val="6"/>
                <w:kern w:val="0"/>
                <w:sz w:val="24"/>
                <w:szCs w:val="28"/>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ind w:firstLine="480" w:firstLineChars="200"/>
              <w:jc w:val="both"/>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kern w:val="0"/>
                <w:sz w:val="24"/>
                <w:lang w:val="en-US"/>
              </w:rPr>
              <w:t>为获奖团队人员提供实习和就业机会。</w:t>
            </w:r>
          </w:p>
        </w:tc>
      </w:tr>
    </w:tbl>
    <w:p>
      <w:pPr>
        <w:widowControl/>
        <w:adjustRightInd w:val="0"/>
        <w:snapToGrid w:val="0"/>
        <w:jc w:val="center"/>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-07</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40"/>
          <w:szCs w:val="40"/>
          <w:lang w:val="en-US"/>
        </w:rPr>
      </w:pPr>
    </w:p>
    <w:p>
      <w:pPr>
        <w:widowControl/>
        <w:adjustRightInd w:val="0"/>
        <w:snapToGrid w:val="0"/>
        <w:jc w:val="center"/>
        <w:rPr>
          <w:rFonts w:hint="default" w:ascii="Times New Roman" w:hAnsi="Times New Roman" w:eastAsia="方正黑体简体" w:cs="Times New Roman"/>
          <w:kern w:val="0"/>
          <w:sz w:val="24"/>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74"/>
        <w:gridCol w:w="1875"/>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赛诺联合医疗科技（北京）有限公司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北京市海淀区永泰庄北路1号天地邻枫1号楼1层101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赛诺联合医疗成立于2011年，注册资金10550.081万元，是一家总部位于北京市中关村的高端医疗装备制造商和创新服务供应商，主营PET/CT等高端医学影像设备的研发、生产及销售等，是国家高新技术企业、中关村高新技术企业及北京市“专精特新”中小企业。</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公司自成立以来，坚决落实国家推进科技自立自强的要求，瞄准关键核心技术特别是“卡脖子”难题，加快核心技术攻关，致力于PET/CT等核心技术自主研发，目前是全球四家高端PET/CT厂商之一。公司相关科研工作获得2019年度北京市科学技术二等奖；累计承担2项北京市科技计划项目、2项“十三五”科技部国家重点研发计划项目；产品分别入选2017年度和2022年度中国医学装备协会“优秀国产医疗装备”目录、获得北京市新技术新产品（服务）认定；用户包括北京协和医院、北京友谊医院、北京积水潭医院等顶尖三甲医院，获得核医学行业专家一致好评。</w:t>
            </w:r>
          </w:p>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2022年2月，我司与荷兰皇家飞利浦公司共同签订了投资和商业合作协议，实现长期的战略合作关系，将与飞利浦公司开展包括PET/CT产品生产、国内外市场销售等全面业务合作。目前，赛诺联合医疗已形成了核医学全线解决方案，涵盖核医学成像设备，核医学影像AI处理技术、远程医疗会诊平台等，可为各层级医疗机构提供最为完整的核医学产品及技术服务，坚持专研迭代，持续推动国产核医学相关产业技术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val="0"/>
              <w:jc w:val="center"/>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楷体" w:cs="Times New Roman"/>
                <w:kern w:val="0"/>
                <w:sz w:val="28"/>
                <w:szCs w:val="28"/>
                <w:lang w:val="en-US"/>
              </w:rPr>
              <w:t>联系人</w:t>
            </w:r>
          </w:p>
        </w:tc>
        <w:tc>
          <w:tcPr>
            <w:tcW w:w="2274" w:type="dxa"/>
            <w:vAlign w:val="center"/>
          </w:tcPr>
          <w:p>
            <w:pPr>
              <w:widowControl/>
              <w:adjustRightInd w:val="0"/>
              <w:snapToGrid w:val="0"/>
              <w:jc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kern w:val="0"/>
                <w:sz w:val="24"/>
                <w:lang w:val="en-US"/>
              </w:rPr>
              <w:t>马老师</w:t>
            </w:r>
          </w:p>
        </w:tc>
        <w:tc>
          <w:tcPr>
            <w:tcW w:w="1875" w:type="dxa"/>
            <w:vAlign w:val="center"/>
          </w:tcPr>
          <w:p>
            <w:pPr>
              <w:widowControl/>
              <w:adjustRightInd w:val="0"/>
              <w:snapToGrid w:val="0"/>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US"/>
              </w:rPr>
              <w:t>联系方式</w:t>
            </w:r>
          </w:p>
        </w:tc>
        <w:tc>
          <w:tcPr>
            <w:tcW w:w="2783" w:type="dxa"/>
            <w:vAlign w:val="center"/>
          </w:tcPr>
          <w:p>
            <w:pPr>
              <w:widowControl/>
              <w:adjustRightInd w:val="0"/>
              <w:snapToGrid w:val="0"/>
              <w:jc w:val="center"/>
              <w:rPr>
                <w:rFonts w:hint="default" w:ascii="Times New Roman" w:hAnsi="Times New Roman" w:eastAsia="方正仿宋简体" w:cs="Times New Roman"/>
                <w:kern w:val="0"/>
                <w:sz w:val="24"/>
                <w:lang w:val="en-GB"/>
              </w:rPr>
            </w:pPr>
            <w:r>
              <w:rPr>
                <w:rFonts w:hint="default" w:ascii="Times New Roman" w:hAnsi="Times New Roman" w:eastAsia="方正仿宋简体" w:cs="Times New Roman"/>
                <w:kern w:val="0"/>
                <w:sz w:val="24"/>
                <w:lang w:val="en-US"/>
              </w:rPr>
              <w:t>18112135885</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w:t>
            </w:r>
          </w:p>
        </w:tc>
        <w:tc>
          <w:tcPr>
            <w:tcW w:w="6669" w:type="dxa"/>
            <w:tcBorders>
              <w:tl2br w:val="nil"/>
              <w:tr2bl w:val="nil"/>
            </w:tcBorders>
            <w:shd w:val="clear" w:color="auto" w:fill="FFFFFF"/>
            <w:vAlign w:val="center"/>
          </w:tcPr>
          <w:p>
            <w:pPr>
              <w:widowControl/>
              <w:adjustRightInd w:val="0"/>
              <w:snapToGrid/>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基于AI大模型的PET图像智能诊断一体化解决方案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行业领域</w:t>
            </w:r>
          </w:p>
        </w:tc>
        <w:tc>
          <w:tcPr>
            <w:tcW w:w="6669" w:type="dxa"/>
            <w:tcBorders>
              <w:tl2br w:val="nil"/>
              <w:tr2bl w:val="nil"/>
            </w:tcBorders>
            <w:shd w:val="clear" w:color="auto" w:fill="FFFFFF"/>
            <w:vAlign w:val="center"/>
          </w:tcPr>
          <w:p>
            <w:pPr>
              <w:widowControl/>
              <w:adjustRightInd w:val="0"/>
              <w:snapToGrid/>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医学人工智能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目前医院核医学科按日均扫描量为30例，预估完成全天病人检查需要10小时以上，核医学科医务人员临床工作压力巨大，掣肘明显。现有PET/CT设备的扫描速度已经对快速增长的临床检查需求形成严重制约，亟需通过新技术解决临床面临的矛盾。同时，在目前的PET/CT临床实践中，为保证图像质量，医院一般按照0.1-0.15mCi/kg的标准为患者注射放射性示踪剂。如果按照10mCi的常规注射剂量，放射性示踪剂对患者产生的辐射剂量约7mSv。随着PET/CT检查需求的快速增长，辐射剂量对患者以及医护人员的影响也日益受到关注。如何通过降低检查辐射剂量，使得PET/CT检查的安全性得到临床科室的接受和认可，成为推动PET/CT进入越来越多的精准诊疗一体化临床路径的一个关键因素。</w:t>
            </w:r>
          </w:p>
          <w:p>
            <w:pPr>
              <w:widowControl/>
              <w:adjustRightInd w:val="0"/>
              <w:snapToGrid/>
              <w:spacing w:line="400" w:lineRule="exact"/>
              <w:ind w:firstLine="480" w:firstLineChars="200"/>
              <w:jc w:val="left"/>
              <w:rPr>
                <w:rFonts w:hint="default" w:ascii="Times New Roman" w:hAnsi="Times New Roman" w:eastAsia="方正仿宋简体" w:cs="Times New Roman"/>
                <w:bCs/>
                <w:kern w:val="0"/>
                <w:sz w:val="24"/>
                <w:lang w:val="en-US"/>
              </w:rPr>
            </w:pPr>
            <w:r>
              <w:rPr>
                <w:rFonts w:hint="default" w:ascii="Times New Roman" w:hAnsi="Times New Roman" w:eastAsia="仿宋" w:cs="Times New Roman"/>
                <w:kern w:val="0"/>
                <w:sz w:val="24"/>
                <w:lang w:val="en-US"/>
              </w:rPr>
              <w:t>因此，希望基于医学人工智能技术的发展，提出一种实现低剂量且快速成像的解决方案。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预期取得的</w:t>
            </w:r>
          </w:p>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实现PET图像中低放射性示踪剂注射活度以及短时间扫描的情况下完成图像采集，并寻到高质量PET图像，从而同时解决PET/CT成像速度慢以及辐射风险高等难题。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GB"/>
              </w:rPr>
            </w:pPr>
            <w:r>
              <w:rPr>
                <w:rFonts w:hint="default" w:ascii="Times New Roman" w:hAnsi="Times New Roman" w:eastAsia="楷体" w:cs="Times New Roman"/>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2"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b/>
                <w:bCs/>
                <w:kern w:val="0"/>
                <w:sz w:val="24"/>
                <w:lang w:val="en-US"/>
              </w:rPr>
              <w:t>提报形式：</w:t>
            </w:r>
            <w:r>
              <w:rPr>
                <w:rFonts w:hint="default" w:ascii="Times New Roman" w:hAnsi="Times New Roman" w:eastAsia="仿宋" w:cs="Times New Roman"/>
                <w:kern w:val="0"/>
                <w:sz w:val="24"/>
                <w:lang w:val="en-US"/>
              </w:rPr>
              <w:t>以个人或团队形式参赛均可，每个团队不超过3人，提交作品方案一份。</w:t>
            </w:r>
          </w:p>
          <w:p>
            <w:pPr>
              <w:widowControl/>
              <w:adjustRightInd w:val="0"/>
              <w:snapToGrid w:val="0"/>
              <w:spacing w:line="400" w:lineRule="exact"/>
              <w:ind w:firstLine="482"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b/>
                <w:bCs/>
                <w:kern w:val="0"/>
                <w:sz w:val="24"/>
                <w:lang w:val="en-US"/>
              </w:rPr>
              <w:t>提报要求：</w:t>
            </w:r>
            <w:r>
              <w:rPr>
                <w:rFonts w:hint="default" w:ascii="Times New Roman" w:hAnsi="Times New Roman" w:eastAsia="仿宋" w:cs="Times New Roman"/>
                <w:kern w:val="0"/>
                <w:sz w:val="24"/>
                <w:lang w:val="en-US"/>
              </w:rPr>
              <w:t>作品方案需阐明团队简介、技术来源、技术路线、技术创新、技术优势、技术预期实现效益及技术可应用性等。</w:t>
            </w:r>
          </w:p>
          <w:p>
            <w:pPr>
              <w:widowControl/>
              <w:adjustRightInd w:val="0"/>
              <w:snapToGrid w:val="0"/>
              <w:spacing w:line="400" w:lineRule="exact"/>
              <w:ind w:firstLine="482"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b/>
                <w:bCs/>
                <w:kern w:val="0"/>
                <w:sz w:val="24"/>
                <w:lang w:val="en-US"/>
              </w:rPr>
              <w:t>评选标准：</w:t>
            </w:r>
            <w:r>
              <w:rPr>
                <w:rFonts w:hint="default" w:ascii="Times New Roman" w:hAnsi="Times New Roman" w:eastAsia="仿宋" w:cs="Times New Roman"/>
                <w:kern w:val="0"/>
                <w:sz w:val="24"/>
                <w:lang w:val="en-US"/>
              </w:rPr>
              <w:t>通过PPT答辩形式进行线下或线上评选，由评审专家从技术创新性、技术预期效益、技术可应用性及团队实力等方面进行评选。</w:t>
            </w:r>
          </w:p>
        </w:tc>
      </w:tr>
    </w:tbl>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0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786"/>
        <w:gridCol w:w="62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979" w:hRule="atLeast"/>
          <w:jc w:val="center"/>
        </w:trPr>
        <w:tc>
          <w:tcPr>
            <w:tcW w:w="1786"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指导措施</w:t>
            </w:r>
          </w:p>
        </w:tc>
        <w:tc>
          <w:tcPr>
            <w:tcW w:w="6217"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可为参赛团队集中组织1次线上PET/CT技术交流沟通会，帮助参赛团队更好</w:t>
            </w:r>
            <w:r>
              <w:rPr>
                <w:rFonts w:hint="eastAsia" w:eastAsia="仿宋" w:cs="Times New Roman"/>
                <w:kern w:val="0"/>
                <w:sz w:val="24"/>
                <w:lang w:val="en-US" w:eastAsia="zh-CN"/>
              </w:rPr>
              <w:t>地</w:t>
            </w:r>
            <w:r>
              <w:rPr>
                <w:rFonts w:hint="default" w:ascii="Times New Roman" w:hAnsi="Times New Roman" w:eastAsia="仿宋" w:cs="Times New Roman"/>
                <w:kern w:val="0"/>
                <w:sz w:val="24"/>
                <w:lang w:val="en-US"/>
              </w:rPr>
              <w:t>了解参赛题目；可为参赛团队代表集中组织1次10人以内的北京核医学科参观交流机会，帮助参赛团队走进PET/CT实际应用场景，切身了解临床需求；整个参赛期间，为参赛团队提供专门指导人员，解答及帮助其协调参赛过程的相关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99" w:hRule="atLeast"/>
          <w:jc w:val="center"/>
        </w:trPr>
        <w:tc>
          <w:tcPr>
            <w:tcW w:w="1786" w:type="dxa"/>
            <w:tcBorders>
              <w:tl2br w:val="nil"/>
              <w:tr2bl w:val="nil"/>
            </w:tcBorders>
            <w:shd w:val="clear" w:color="auto" w:fill="FFFFFF"/>
            <w:vAlign w:val="center"/>
          </w:tcPr>
          <w:p>
            <w:pPr>
              <w:widowControl/>
              <w:adjustRightInd w:val="0"/>
              <w:snapToGrid w:val="0"/>
              <w:spacing w:line="560" w:lineRule="exact"/>
              <w:jc w:val="center"/>
              <w:rPr>
                <w:rFonts w:hint="default" w:ascii="Times New Roman" w:hAnsi="Times New Roman" w:eastAsia="楷体" w:cs="Times New Roman"/>
                <w:kern w:val="0"/>
                <w:sz w:val="28"/>
                <w:szCs w:val="28"/>
                <w:lang w:val="en-US"/>
              </w:rPr>
            </w:pPr>
            <w:r>
              <w:rPr>
                <w:rFonts w:hint="default" w:ascii="Times New Roman" w:hAnsi="Times New Roman" w:eastAsia="楷体" w:cs="Times New Roman"/>
                <w:kern w:val="0"/>
                <w:sz w:val="28"/>
                <w:szCs w:val="28"/>
                <w:lang w:val="en-US"/>
              </w:rPr>
              <w:t>奖励措施</w:t>
            </w:r>
          </w:p>
        </w:tc>
        <w:tc>
          <w:tcPr>
            <w:tcW w:w="6217"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4"/>
                <w:lang w:val="en-US"/>
              </w:rPr>
            </w:pPr>
            <w:r>
              <w:rPr>
                <w:rFonts w:hint="default" w:ascii="Times New Roman" w:hAnsi="Times New Roman" w:eastAsia="仿宋" w:cs="Times New Roman"/>
                <w:kern w:val="0"/>
                <w:sz w:val="24"/>
                <w:lang w:val="en-US"/>
              </w:rPr>
              <w:t>根据排名情况，为部分优秀获奖团队提供实习机会；给予“擂主”团队奖励，提供1个免试入职机会，入职3个月后通过考核即可正式转正，转正后可协助其申请园区公租房以解决通勤问题。</w:t>
            </w:r>
          </w:p>
        </w:tc>
      </w:tr>
    </w:tbl>
    <w:p>
      <w:pPr>
        <w:widowControl/>
        <w:adjustRightInd w:val="0"/>
        <w:snapToGrid w:val="0"/>
        <w:jc w:val="center"/>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-08</w:t>
      </w:r>
    </w:p>
    <w:p>
      <w:pPr>
        <w:widowControl/>
        <w:adjustRightInd w:val="0"/>
        <w:snapToGrid w:val="0"/>
        <w:jc w:val="center"/>
        <w:rPr>
          <w:rFonts w:hint="default" w:ascii="Times New Roman" w:hAnsi="Times New Roman" w:eastAsia="Times New Roman" w:cs="Times New Roman"/>
          <w:kern w:val="0"/>
          <w:sz w:val="24"/>
          <w:lang w:val="en-GB"/>
        </w:rPr>
      </w:pPr>
    </w:p>
    <w:p>
      <w:pPr>
        <w:widowControl/>
        <w:adjustRightInd w:val="0"/>
        <w:snapToGrid w:val="0"/>
        <w:jc w:val="center"/>
        <w:rPr>
          <w:rFonts w:hint="default" w:ascii="Times New Roman" w:hAnsi="Times New Roman" w:eastAsia="Times New Roman" w:cs="Times New Roman"/>
          <w:kern w:val="0"/>
          <w:sz w:val="24"/>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77"/>
        <w:gridCol w:w="1472"/>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北京佰仁医疗科技股份有限公司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单位类型</w:t>
            </w:r>
          </w:p>
        </w:tc>
        <w:tc>
          <w:tcPr>
            <w:tcW w:w="6932" w:type="dxa"/>
            <w:gridSpan w:val="3"/>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北京市昌平区科技园东区华昌路2号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单位简介</w:t>
            </w:r>
          </w:p>
        </w:tc>
        <w:tc>
          <w:tcPr>
            <w:tcW w:w="6932" w:type="dxa"/>
            <w:gridSpan w:val="3"/>
            <w:vAlign w:val="center"/>
          </w:tcPr>
          <w:p>
            <w:pPr>
              <w:widowControl/>
              <w:adjustRightInd w:val="0"/>
              <w:snapToGrid w:val="0"/>
              <w:jc w:val="center"/>
              <w:rPr>
                <w:rFonts w:hint="default" w:ascii="Times New Roman" w:hAnsi="Times New Roman" w:eastAsia="仿宋" w:cs="Times New Roman"/>
                <w:kern w:val="0"/>
                <w:sz w:val="24"/>
                <w:lang w:val="en-GB"/>
              </w:rPr>
            </w:pP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佰仁医疗科技股份有限公司，成立于2005年，是一家致力于动物源性植介入高值医疗器械研发与生产的高新技术企业。公司自主研发动物组织工程和原创化学改性处理技术，目前已获批准17个Ⅲ类医疗器械产品，公司是国内技术领先的动物源性植介入医疗器械研发平台企业，产品覆盖心脏瓣膜置换与修复、先天性心脏病植介入治疗以及外科软组织修复三大领域。</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公司拥有原创性的动物组织工程和化学改性处理技术，可使处理后的动物组织植入人体后抗排异、抗钙化、长期满足预期治疗要求。公司使用该技术生产的人工生物心脏瓣膜——牛心包瓣于2003年获得注册，是国内最早注册、目前唯一有长期循证医学数据的国产产品。依据平台技术，公司延伸开发了生物补片类产品，应用于循环系统修复、胸外气管与肺组织修复、硬脑（脊）膜修复以及疝修复等并将进一步向眼科、血管外科等延伸应用。截至目前，公司人工生物心脏瓣膜（牛心包瓣、猪主动脉瓣）、肺动脉带瓣管道、瓣膜成形环、心外科生物补片、神经外科微血管减压垫片、流出道单瓣补片、限位可扩张人工生物心脏瓣膜8项产品均为国内首个获准注册的国产同类产品，填补了国内空白，共获得20余项国内外发明专利授权。公司于2019年12月成功登陆上海证券交易所科创板（股票代码：688198）。</w:t>
            </w:r>
          </w:p>
          <w:p>
            <w:pPr>
              <w:widowControl/>
              <w:adjustRightInd w:val="0"/>
              <w:snapToGrid w:val="0"/>
              <w:jc w:val="center"/>
              <w:rPr>
                <w:rFonts w:hint="default" w:ascii="Times New Roman" w:hAnsi="Times New Roman" w:eastAsia="仿宋" w:cs="Times New Roman"/>
                <w:kern w:val="0"/>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联系人</w:t>
            </w:r>
          </w:p>
        </w:tc>
        <w:tc>
          <w:tcPr>
            <w:tcW w:w="2677" w:type="dxa"/>
            <w:vAlign w:val="center"/>
          </w:tcPr>
          <w:p>
            <w:pPr>
              <w:widowControl/>
              <w:adjustRightInd w:val="0"/>
              <w:snapToGrid w:val="0"/>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kern w:val="0"/>
                <w:sz w:val="24"/>
                <w:lang w:val="en-US"/>
              </w:rPr>
              <w:t>吴老师</w:t>
            </w:r>
          </w:p>
        </w:tc>
        <w:tc>
          <w:tcPr>
            <w:tcW w:w="1472"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napToGrid w:val="0"/>
              <w:jc w:val="center"/>
              <w:rPr>
                <w:rFonts w:hint="default" w:ascii="Times New Roman" w:hAnsi="Times New Roman" w:eastAsia="方正仿宋简体" w:cs="Times New Roman"/>
                <w:kern w:val="0"/>
                <w:sz w:val="24"/>
                <w:lang w:val="en-US"/>
              </w:rPr>
            </w:pPr>
            <w:r>
              <w:rPr>
                <w:rFonts w:hint="default" w:ascii="Times New Roman" w:hAnsi="Times New Roman" w:eastAsia="方正仿宋简体" w:cs="Times New Roman"/>
                <w:kern w:val="0"/>
                <w:sz w:val="24"/>
                <w:lang w:val="en-US"/>
              </w:rPr>
              <w:t>13501059630</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题目</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右心室流出道流场构型对复杂先心病治疗植入器械的影响评估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行业领域</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医疗器械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71"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先天性心脏病是我国比例最高的出生人口缺陷，占出生人口的</w:t>
            </w:r>
            <w:r>
              <w:rPr>
                <w:rFonts w:hint="eastAsia" w:eastAsia="仿宋" w:cs="Times New Roman"/>
                <w:kern w:val="0"/>
                <w:sz w:val="24"/>
                <w:lang w:val="en-US" w:eastAsia="zh-CN"/>
              </w:rPr>
              <w:t>0.6%-0.8%</w:t>
            </w:r>
            <w:r>
              <w:rPr>
                <w:rFonts w:hint="default" w:ascii="Times New Roman" w:hAnsi="Times New Roman" w:eastAsia="仿宋" w:cs="Times New Roman"/>
                <w:kern w:val="0"/>
                <w:sz w:val="24"/>
                <w:lang w:val="en-US"/>
              </w:rPr>
              <w:t>。每年有十万左右的新生儿患有先天性心脏病，其中复杂先天性心脏病的治疗大都涉及右心室流出道（RVOT）的修补或重建。</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佰仁医疗科技股份有限公司在科技部十二五支撑计划支持下研发了“肺动脉带瓣管道及单瓣补片”产品，为该类手术提供了必要的植入器械。在术后多年随访中发现，植入器械不同瓣叶钙化发生率明显不同，程度各异。相比主动脉瓣，肺动脉瓣周围流场构型的差异巨大，而植入材料钙化与其遭受的流体剪切力环境直接相关。对RVOT到肺动脉的血流动力学环境流场进行体外建模，在不同模型下进行流场测量研究，对于建立其对植入物钙化影响机制意义重大。</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本榜单要求参赛者建立基本的RVOT到主肺动脉体外模型，建立基于数字粒子图像测速（PIV）技术的肺动脉瓣局部流场评测方法，评测不同RVOT构型对植入器械的影响。</w:t>
            </w:r>
          </w:p>
          <w:p>
            <w:pPr>
              <w:widowControl/>
              <w:adjustRightInd w:val="0"/>
              <w:snapToGrid w:val="0"/>
              <w:ind w:firstLine="480" w:firstLineChars="200"/>
              <w:jc w:val="left"/>
              <w:rPr>
                <w:rFonts w:hint="default" w:ascii="Times New Roman" w:hAnsi="Times New Roman" w:eastAsia="仿宋" w:cs="Times New Roman"/>
                <w:kern w:val="0"/>
                <w:sz w:val="24"/>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95"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预期取得的</w:t>
            </w:r>
          </w:p>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我国作为人口大国也是新生儿出生缺陷大国，先天性心脏病的治疗得到了历届党和政府的高度重视。佰仁医疗在国家科技支撑计划下研发了供复杂先心病治疗的植入器械，如何进行手术操作、如何缝合人体组织和植入器械，这些手术操作直接关系到植入器械在患者体内有更高的效率，更长久的使用寿命。</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目前世界上还没有全尺寸的肺动脉带瓣管道及单瓣补片产品，更没有评价及远期随访结果，而这些产品的使用关系到每年</w:t>
            </w:r>
            <w:r>
              <w:rPr>
                <w:rFonts w:hint="eastAsia" w:eastAsia="仿宋" w:cs="Times New Roman"/>
                <w:kern w:val="0"/>
                <w:sz w:val="24"/>
                <w:lang w:val="en-GB" w:eastAsia="zh-CN"/>
              </w:rPr>
              <w:t>数以万计</w:t>
            </w:r>
            <w:r>
              <w:rPr>
                <w:rFonts w:hint="default" w:ascii="Times New Roman" w:hAnsi="Times New Roman" w:eastAsia="仿宋" w:cs="Times New Roman"/>
                <w:kern w:val="0"/>
                <w:sz w:val="24"/>
                <w:lang w:val="en-GB"/>
              </w:rPr>
              <w:t>的复杂先心病手术的开展。在全球范围内，只有美敦力公司有小尺寸的带瓣管道产品用于人道主义豁免手术，其他RVOT的重建都采用器官捐献移植来实现治疗。</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我国器官捐献严重不足，对于先心病治疗杯水车薪。佰仁医疗的产品就是为此而研发的，至今已经有数</w:t>
            </w:r>
            <w:r>
              <w:rPr>
                <w:rFonts w:hint="eastAsia" w:eastAsia="仿宋" w:cs="Times New Roman"/>
                <w:kern w:val="0"/>
                <w:sz w:val="24"/>
                <w:lang w:val="en-GB" w:eastAsia="zh-CN"/>
              </w:rPr>
              <w:t>以千计</w:t>
            </w:r>
            <w:r>
              <w:rPr>
                <w:rFonts w:hint="default" w:ascii="Times New Roman" w:hAnsi="Times New Roman" w:eastAsia="仿宋" w:cs="Times New Roman"/>
                <w:kern w:val="0"/>
                <w:sz w:val="24"/>
                <w:lang w:val="en-GB"/>
              </w:rPr>
              <w:t>的患儿获得救治。至今的随后随访表明，不同的管道及单瓣的缝合方式对其中肺动脉瓣瓣叶的耐久性影响很大，其中最重要的因素就是流出道的方向改变导致的流场剪切力的变化。</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早在上</w:t>
            </w:r>
            <w:r>
              <w:rPr>
                <w:rFonts w:hint="eastAsia" w:eastAsia="仿宋" w:cs="Times New Roman"/>
                <w:kern w:val="0"/>
                <w:sz w:val="24"/>
                <w:lang w:val="en-GB" w:eastAsia="zh-CN"/>
              </w:rPr>
              <w:t>世纪</w:t>
            </w:r>
            <w:r>
              <w:rPr>
                <w:rFonts w:hint="default" w:ascii="Times New Roman" w:hAnsi="Times New Roman" w:eastAsia="仿宋" w:cs="Times New Roman"/>
                <w:kern w:val="0"/>
                <w:sz w:val="24"/>
                <w:lang w:val="en-GB"/>
              </w:rPr>
              <w:t>70年代，法国医生Carpentier就指出，导致生物瓣钙化的重要机制之一就是其遭受的血流流场剪切力。然而对于瓣叶周围流场的测量及仿真研究很少，肺动脉瓣更是如此。本项目的召集旨在建立右心室流出血流的环境模型，进一步探究肺动脉瓣瓣膜钙化的潜在风险，为公司已上市的带瓣管道和单瓣产品的手术缝合提供理论依据，为改善其血流动力学性能和长期耐久性提供实验支撑。同时，评测方法的提升也可以为医疗器械监管部门提供更好的监管评价依据，为提升我国心血管植介入器械的自主创新能力提供评测方法支撑。</w:t>
            </w:r>
          </w:p>
          <w:p>
            <w:pPr>
              <w:widowControl/>
              <w:adjustRightInd w:val="0"/>
              <w:snapToGrid w:val="0"/>
              <w:ind w:firstLine="480" w:firstLineChars="200"/>
              <w:jc w:val="left"/>
              <w:rPr>
                <w:rFonts w:hint="default" w:ascii="Times New Roman" w:hAnsi="Times New Roman" w:eastAsia="仿宋" w:cs="Times New Roman"/>
                <w:kern w:val="0"/>
                <w:sz w:val="24"/>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jc w:val="center"/>
              <w:rPr>
                <w:rFonts w:hint="default" w:ascii="Times New Roman" w:hAnsi="Times New Roman" w:eastAsia="Times New Roman" w:cs="Times New Roman"/>
                <w:kern w:val="0"/>
                <w:sz w:val="24"/>
                <w:lang w:val="en-GB"/>
              </w:rPr>
            </w:pPr>
            <w:r>
              <w:rPr>
                <w:rFonts w:hint="default" w:ascii="Times New Roman" w:hAnsi="Times New Roman" w:eastAsia="楷体" w:cs="Times New Roman"/>
                <w:kern w:val="0"/>
                <w:sz w:val="28"/>
                <w:szCs w:val="32"/>
                <w:lang w:val="en-US"/>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ind w:firstLine="480" w:firstLineChars="200"/>
              <w:jc w:val="left"/>
              <w:rPr>
                <w:rFonts w:hint="default" w:ascii="Times New Roman" w:hAnsi="Times New Roman" w:eastAsia="仿宋" w:cs="Times New Roman"/>
                <w:kern w:val="0"/>
                <w:sz w:val="24"/>
                <w:lang w:val="en-GB"/>
              </w:rPr>
            </w:pPr>
          </w:p>
          <w:p>
            <w:pPr>
              <w:widowControl/>
              <w:adjustRightInd w:val="0"/>
              <w:snapToGrid w:val="0"/>
              <w:spacing w:line="400" w:lineRule="exact"/>
              <w:ind w:firstLine="482" w:firstLineChars="200"/>
              <w:jc w:val="left"/>
              <w:rPr>
                <w:rFonts w:hint="default" w:ascii="Times New Roman" w:hAnsi="Times New Roman" w:eastAsia="仿宋" w:cs="Times New Roman"/>
                <w:b/>
                <w:bCs/>
                <w:kern w:val="0"/>
                <w:sz w:val="24"/>
                <w:lang w:val="en-GB"/>
              </w:rPr>
            </w:pPr>
            <w:r>
              <w:rPr>
                <w:rFonts w:hint="default" w:ascii="Times New Roman" w:hAnsi="Times New Roman" w:eastAsia="仿宋" w:cs="Times New Roman"/>
                <w:b/>
                <w:bCs/>
                <w:kern w:val="0"/>
                <w:sz w:val="24"/>
                <w:lang w:val="en-GB"/>
              </w:rPr>
              <w:t>作品形式：</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1. 材料文档：内容包括但不限于作品设计报告、测试报告、总结报告和使用说明等文档；</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2. 视频文档：介绍作品原理、实现方法、实验过程、计算/数据处理过程和结果展示；</w:t>
            </w:r>
          </w:p>
          <w:p>
            <w:pPr>
              <w:widowControl/>
              <w:adjustRightInd w:val="0"/>
              <w:snapToGrid w:val="0"/>
              <w:spacing w:line="400" w:lineRule="exact"/>
              <w:ind w:firstLine="482" w:firstLineChars="200"/>
              <w:jc w:val="left"/>
              <w:rPr>
                <w:rFonts w:hint="default" w:ascii="Times New Roman" w:hAnsi="Times New Roman" w:eastAsia="仿宋" w:cs="Times New Roman"/>
                <w:b/>
                <w:bCs/>
                <w:kern w:val="0"/>
                <w:sz w:val="24"/>
                <w:lang w:val="en-GB"/>
              </w:rPr>
            </w:pPr>
            <w:r>
              <w:rPr>
                <w:rFonts w:hint="default" w:ascii="Times New Roman" w:hAnsi="Times New Roman" w:eastAsia="仿宋" w:cs="Times New Roman"/>
                <w:b/>
                <w:bCs/>
                <w:kern w:val="0"/>
                <w:sz w:val="24"/>
                <w:lang w:val="en-GB"/>
              </w:rPr>
              <w:t>作品要求：</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1. 参赛者需要对给定的右室流出道构型建立流出道、肺动脉瓣及主肺动脉的体外测试模型，设计流场评测实验方法；</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2. 参赛者需要评测和对比不同右室流出道构型的肺动脉瓣局部流场，分析不同流出道构型的血流动力学特征对植入器械的影响；</w:t>
            </w:r>
          </w:p>
          <w:p>
            <w:pPr>
              <w:widowControl/>
              <w:adjustRightInd w:val="0"/>
              <w:snapToGrid w:val="0"/>
              <w:spacing w:line="400" w:lineRule="exact"/>
              <w:ind w:firstLine="482" w:firstLineChars="200"/>
              <w:jc w:val="left"/>
              <w:rPr>
                <w:rFonts w:hint="default" w:ascii="Times New Roman" w:hAnsi="Times New Roman" w:eastAsia="仿宋" w:cs="Times New Roman"/>
                <w:b/>
                <w:bCs/>
                <w:kern w:val="0"/>
                <w:sz w:val="24"/>
                <w:lang w:val="en-GB"/>
              </w:rPr>
            </w:pPr>
            <w:r>
              <w:rPr>
                <w:rFonts w:hint="default" w:ascii="Times New Roman" w:hAnsi="Times New Roman" w:eastAsia="仿宋" w:cs="Times New Roman"/>
                <w:b/>
                <w:bCs/>
                <w:kern w:val="0"/>
                <w:sz w:val="24"/>
                <w:lang w:val="en-GB"/>
              </w:rPr>
              <w:t>作品评选标准：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评委主要按照作品符合性、作品完整性、指标先进性和作品创新性4个方面进行综合评价，分值分配情况如下：</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（一）作品符合性：20分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1. 国内外发展情况调研分析全面性（分值：5分）；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2. 研究思路合理性、技术路线可行性（分值：5分）；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3. 工程可实现性（分值：10分）。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（二）作品完整性：15分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1. 设计报告、测试报告、总结报告和使用说明等文档完整、规范（分值：10分）。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2. 视频展示内容清晰完整（分值：5分）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（三）指标先进性：55分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对指定样本的评测和预测方法和结果进行评价：</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1. 体外模型的合理性，如保留关键特征的合理简化、与医学影像数据的一致性等（分值：15分）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2. 测试结果的准确性和稳定性，如局部位置流场刻画情况、多周期测试结果的稳定性等（分值：20分）；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2. 测试结果的全面性，如选取不同测试时刻、不同测试位置等（分值：10分）；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3. 测试结果分析的合理性（分值：10分）。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（四）作品创新性：10分</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采用新理论、运用新方法对已有理论和算法进行重要完善，并完成作品（分值：10分）。</w:t>
            </w:r>
          </w:p>
          <w:p>
            <w:pPr>
              <w:widowControl/>
              <w:adjustRightInd w:val="0"/>
              <w:snapToGrid w:val="0"/>
              <w:ind w:firstLine="480" w:firstLineChars="200"/>
              <w:jc w:val="left"/>
              <w:rPr>
                <w:rFonts w:hint="default" w:ascii="Times New Roman" w:hAnsi="Times New Roman" w:eastAsia="仿宋" w:cs="Times New Roman"/>
                <w:kern w:val="0"/>
                <w:sz w:val="24"/>
                <w:lang w:val="en-GB"/>
              </w:rPr>
            </w:pP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979"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基础条件：佰仁公司可提供测量用的瓣膜样本以及相关参数数据，并可根据需求优先为参赛选手学习参观和暑期实习；</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参观学习基地：佰仁公司瓣膜评测实验室作为开放交流平台和研究生实习基地，根据需求可优先为参赛选手学习参观和暑期</w:t>
            </w:r>
            <w:r>
              <w:rPr>
                <w:rFonts w:hint="default" w:ascii="Times New Roman" w:hAnsi="Times New Roman" w:eastAsia="仿宋" w:cs="Times New Roman"/>
                <w:kern w:val="0"/>
                <w:sz w:val="24"/>
                <w:lang w:val="en-US"/>
              </w:rPr>
              <w:t xml:space="preserve">  </w:t>
            </w:r>
            <w:r>
              <w:rPr>
                <w:rFonts w:hint="default" w:ascii="Times New Roman" w:hAnsi="Times New Roman" w:eastAsia="仿宋" w:cs="Times New Roman"/>
                <w:kern w:val="0"/>
                <w:sz w:val="24"/>
                <w:lang w:val="en-GB"/>
              </w:rPr>
              <w:t>实习；</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企业指导教师：佰仁公司提供参赛指导教师，在比赛过程中可给予指导。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99"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奖励措施</w:t>
            </w:r>
          </w:p>
        </w:tc>
        <w:tc>
          <w:tcPr>
            <w:tcW w:w="6689" w:type="dxa"/>
            <w:tcBorders>
              <w:tl2br w:val="nil"/>
              <w:tr2bl w:val="nil"/>
            </w:tcBorders>
            <w:shd w:val="clear" w:color="auto" w:fill="FFFFFF"/>
            <w:vAlign w:val="center"/>
          </w:tcPr>
          <w:p>
            <w:pPr>
              <w:widowControl/>
              <w:adjustRightInd w:val="0"/>
              <w:snapToGrid w:val="0"/>
              <w:jc w:val="left"/>
              <w:rPr>
                <w:rFonts w:hint="default" w:ascii="Times New Roman" w:hAnsi="Times New Roman" w:eastAsia="仿宋" w:cs="Times New Roman"/>
                <w:kern w:val="0"/>
                <w:sz w:val="24"/>
                <w:lang w:val="en-GB"/>
              </w:rPr>
            </w:pP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为</w:t>
            </w:r>
            <w:r>
              <w:rPr>
                <w:rFonts w:hint="default" w:ascii="Times New Roman" w:hAnsi="Times New Roman" w:eastAsia="仿宋" w:cs="Times New Roman"/>
                <w:kern w:val="0"/>
                <w:sz w:val="24"/>
                <w:lang w:val="en-GB"/>
              </w:rPr>
              <w:t>擂主</w:t>
            </w:r>
            <w:r>
              <w:rPr>
                <w:rFonts w:hint="default" w:ascii="Times New Roman" w:hAnsi="Times New Roman" w:eastAsia="仿宋" w:cs="Times New Roman"/>
                <w:kern w:val="0"/>
                <w:sz w:val="24"/>
                <w:lang w:val="en-US"/>
              </w:rPr>
              <w:t>团队和部分排名靠前的获奖团队提供奖金支持。</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对于选择本题目的学生可优先安排暑期实习，实习期间提供科研津贴和食宿保障。</w:t>
            </w:r>
          </w:p>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全部获奖团队中应届毕业生参加校园招聘时，符合应聘条件者，直</w:t>
            </w:r>
            <w:r>
              <w:rPr>
                <w:rFonts w:hint="eastAsia" w:eastAsia="仿宋" w:cs="Times New Roman"/>
                <w:kern w:val="0"/>
                <w:sz w:val="24"/>
                <w:lang w:val="en-GB" w:eastAsia="zh-CN"/>
              </w:rPr>
              <w:t>接</w:t>
            </w:r>
            <w:r>
              <w:rPr>
                <w:rFonts w:hint="default" w:ascii="Times New Roman" w:hAnsi="Times New Roman" w:eastAsia="仿宋" w:cs="Times New Roman"/>
                <w:kern w:val="0"/>
                <w:sz w:val="24"/>
                <w:lang w:val="en-GB"/>
              </w:rPr>
              <w:t>进入面试环节，同等条件下可优先录用。</w:t>
            </w:r>
          </w:p>
          <w:p>
            <w:pPr>
              <w:widowControl/>
              <w:adjustRightInd w:val="0"/>
              <w:snapToGrid w:val="0"/>
              <w:jc w:val="left"/>
              <w:rPr>
                <w:rFonts w:hint="default" w:ascii="Times New Roman" w:hAnsi="Times New Roman" w:eastAsia="仿宋" w:cs="Times New Roman"/>
                <w:kern w:val="0"/>
                <w:sz w:val="24"/>
                <w:lang w:val="en-GB"/>
              </w:rPr>
            </w:pPr>
          </w:p>
        </w:tc>
      </w:tr>
    </w:tbl>
    <w:p>
      <w:pPr>
        <w:widowControl/>
        <w:adjustRightInd w:val="0"/>
        <w:snapToGrid w:val="0"/>
        <w:jc w:val="center"/>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-09</w:t>
      </w: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方正楷体简体" w:cs="Times New Roman"/>
          <w:bCs/>
          <w:spacing w:val="6"/>
          <w:kern w:val="0"/>
          <w:sz w:val="24"/>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90"/>
        <w:gridCol w:w="1859"/>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九一金融信息服务</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北京</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北京市西城区白广路11号九一科技大厦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both"/>
              <w:rPr>
                <w:rFonts w:hint="default" w:ascii="Times New Roman" w:hAnsi="Times New Roman" w:eastAsia="方正仿宋简体" w:cs="Times New Roman"/>
                <w:kern w:val="0"/>
                <w:sz w:val="24"/>
                <w:lang w:val="en-US"/>
              </w:rPr>
            </w:pPr>
            <w:r>
              <w:rPr>
                <w:rFonts w:hint="default" w:ascii="Times New Roman" w:hAnsi="Times New Roman" w:eastAsia="仿宋" w:cs="Times New Roman"/>
                <w:kern w:val="0"/>
                <w:sz w:val="24"/>
                <w:lang w:val="en-US"/>
              </w:rPr>
              <w:t>九一金融信息服务</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北京</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有限公司于2013年11月19日在北京市石景山区注册成立，注册资本：5438.270211万元</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实缴</w:t>
            </w:r>
            <w:r>
              <w:rPr>
                <w:rFonts w:hint="eastAsia" w:eastAsia="仿宋" w:cs="Times New Roman"/>
                <w:kern w:val="0"/>
                <w:sz w:val="24"/>
                <w:lang w:val="en-US" w:eastAsia="zh-CN"/>
              </w:rPr>
              <w:t>），国家</w:t>
            </w:r>
            <w:r>
              <w:rPr>
                <w:rFonts w:hint="default" w:ascii="Times New Roman" w:hAnsi="Times New Roman" w:eastAsia="仿宋" w:cs="Times New Roman"/>
                <w:kern w:val="0"/>
                <w:sz w:val="24"/>
                <w:lang w:val="en-US"/>
              </w:rPr>
              <w:t>高新技术企业。91金融普惠金融业务意在运用互联网信息技术及数据分析等手段，提高交易效率，降低交易成本，切实推行普惠金融。</w:t>
            </w:r>
            <w:r>
              <w:rPr>
                <w:rFonts w:hint="eastAsia" w:eastAsia="仿宋" w:cs="Times New Roman"/>
                <w:kern w:val="0"/>
                <w:sz w:val="24"/>
                <w:lang w:val="en-US" w:eastAsia="zh-CN"/>
              </w:rPr>
              <w:t>截至</w:t>
            </w:r>
            <w:r>
              <w:rPr>
                <w:rFonts w:hint="default" w:ascii="Times New Roman" w:hAnsi="Times New Roman" w:eastAsia="仿宋" w:cs="Times New Roman"/>
                <w:kern w:val="0"/>
                <w:sz w:val="24"/>
                <w:lang w:val="en-US"/>
              </w:rPr>
              <w:t>目前，集团已累计服务中小微企业、创新创业企业5万多家，切实缓解了中小企业发展中所面临的资金难题。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联系人</w:t>
            </w:r>
          </w:p>
        </w:tc>
        <w:tc>
          <w:tcPr>
            <w:tcW w:w="2290" w:type="dxa"/>
            <w:vAlign w:val="center"/>
          </w:tcPr>
          <w:p>
            <w:pPr>
              <w:widowControl/>
              <w:adjustRightInd w:val="0"/>
              <w:snapToGrid w:val="0"/>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kern w:val="0"/>
                <w:sz w:val="24"/>
                <w:lang w:val="en-US"/>
              </w:rPr>
              <w:t>苏老师</w:t>
            </w:r>
          </w:p>
        </w:tc>
        <w:tc>
          <w:tcPr>
            <w:tcW w:w="1859"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napToGrid w:val="0"/>
              <w:jc w:val="center"/>
              <w:rPr>
                <w:rFonts w:hint="default" w:ascii="Times New Roman" w:hAnsi="Times New Roman" w:eastAsia="方正仿宋简体" w:cs="Times New Roman"/>
                <w:kern w:val="0"/>
                <w:sz w:val="24"/>
                <w:lang w:val="en-US"/>
              </w:rPr>
            </w:pPr>
            <w:r>
              <w:rPr>
                <w:rFonts w:hint="default" w:ascii="Times New Roman" w:hAnsi="Times New Roman" w:eastAsia="方正仿宋简体" w:cs="Times New Roman"/>
                <w:kern w:val="0"/>
                <w:sz w:val="24"/>
                <w:lang w:val="en-US"/>
              </w:rPr>
              <w:t>18515991189</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题目</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基于区块链技术的绿色能源金属来源的可追溯与认证机制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行业领域</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绿色能源金属、区块链、信息系统、可追溯、认证机制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71"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本项目的研究目标是利用区块链技术追踪和验证绿色能源金属产品及其供应链的可持续性，基于全生命周期理论关注供应链对生物多样性影响。绿色能源金属是指用于太阳能、风能等绿色能源领域中的金属材料，如锂、钴、镍、锰、铁等。这些金属具有重要的电化学特性，可用于制造电池、逆变器、电动车等绿色能源产品。因其稀缺性及储量分布的不平衡性，绿色能源金属被世界各国都认为是重要的战略性资源。</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可持续供应链是指在产品生产消费活动中考虑环境、社会和经济影响的供应链，从原材料的采集到最终产品交付给消费者的整个过程。这种供应链旨在最大化减少其运营对地球和人类的负面影响，同时最大化其积极效益。实现供应链的可持续性涉及多元利益相关者、复杂流程以及不同的标准和法规，是亟待解决的重要的研究问题。</w:t>
            </w:r>
          </w:p>
          <w:p>
            <w:pPr>
              <w:widowControl/>
              <w:adjustRightInd w:val="0"/>
              <w:snapToGrid w:val="0"/>
              <w:spacing w:line="400" w:lineRule="exact"/>
              <w:ind w:firstLine="480" w:firstLineChars="200"/>
              <w:jc w:val="both"/>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kern w:val="0"/>
                <w:sz w:val="24"/>
                <w:lang w:val="en-US"/>
              </w:rPr>
              <w:t>区块链技术在这方面的潜力巨大，它能提供一个不可篡改和完全透明的数据记录系统。研究目的在于建立基于区块链信息系统，对于所有供应链参与者——从原材料供应商到最终用户——都可以实时跟踪产品的流通路径。这种透明度确保了对供应链中每一个环节的可持续性实践的监督和验证，从而促进了环境保护和社会责任，比如资源来源的合法性、监督童工的雇佣、污染物的排放等问题。区块链技术可以建立起一个去中心化的、不可篡改的交易记录，使得绿色能源金属的生产、加工和流通过程变得透明可追溯。这有助于企业和消费者了解产品的确切来源，从而提高对产品的信任度。透明度还能够降低供应链中的不法行为和欺诈，有助于保护企业的声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49"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预期取得的</w:t>
            </w:r>
          </w:p>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本研究将开发“基于区块链技术的绿色能源金属来源与生态多样性影响的可追溯与认证机制”系统，具体的经济社会效益如下</w:t>
            </w:r>
            <w:r>
              <w:rPr>
                <w:rFonts w:hint="eastAsia" w:eastAsia="仿宋" w:cs="Times New Roman"/>
                <w:kern w:val="0"/>
                <w:sz w:val="24"/>
                <w:lang w:val="en-US" w:eastAsia="zh-CN"/>
              </w:rPr>
              <w:t>：</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1）提升供应链透明度与可追溯性：</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透明的供应链有助于减少因供应链问题导致的业务中断和损失，提高生产效率，降低管理成本。</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2）社会责任与环保形象提升：</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区块链认证机制可以确保绿色能源金属的采集和生产过程符合环保标准和社会责任要求。企业通过强调其产品的绿色、可持续和社会责任属性，可以在市场中建立积极的品牌形象，吸引更多的消费者和投资者。 提升社会责任形象有助于吸引社会关注和支持，可能导致更多的合作伙伴关系和投资。</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3）市场差异化与溢价收益：</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区块链认证机制为企业提供了一种证明其产品质量和绿色属性的手段，使得其在市场上具有差异化的竞争优势。消费者越来越注重可持续性和环保，通过提供经过认证的绿色能源金属，企业有望吸引更多愿意为环保产品支付溢价的消费者。凭借认证的环保属性，企业有可能获得溢价收益，提高产品售价，从而增加盈利。</w:t>
            </w:r>
          </w:p>
          <w:p>
            <w:pPr>
              <w:widowControl/>
              <w:adjustRightInd w:val="0"/>
              <w:snapToGrid w:val="0"/>
              <w:spacing w:line="400" w:lineRule="exact"/>
              <w:ind w:firstLine="480" w:firstLineChars="200"/>
              <w:jc w:val="both"/>
              <w:rPr>
                <w:rFonts w:hint="default" w:ascii="Times New Roman" w:hAnsi="Times New Roman" w:eastAsia="方正仿宋简体" w:cs="Times New Roman"/>
                <w:kern w:val="0"/>
                <w:sz w:val="28"/>
                <w:szCs w:val="28"/>
                <w:lang w:val="en-US"/>
              </w:rPr>
            </w:pPr>
            <w:r>
              <w:rPr>
                <w:rFonts w:hint="default" w:ascii="Times New Roman" w:hAnsi="Times New Roman" w:eastAsia="仿宋" w:cs="Times New Roman"/>
                <w:kern w:val="0"/>
                <w:sz w:val="24"/>
                <w:lang w:val="en-US"/>
              </w:rPr>
              <w:t>这些效益将有助于企业在经济和社会层面取得更为可观的收益，推动绿色、可持续和社会责任的发展。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1）技术实现与创新性：</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要求：详细阐述区块链技术如何应用于绿色能源金属来源的追溯与认证。特别强调技术方案的创新性和实用性。</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评选标准：原创性、技术的先进性、实用性。</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2）方案的可行性与经济效益：</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要求：提供详细的市场分析，包括目标市场、潜在客户、竞争分析以及预期的经济效益。</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评选标准：市场分析的全面性、方案的商业可行性。</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3）环境影响与社会责任：</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要求：分析该项目对环境的正面影响，包括减少资源浪费、促进可持续发展等方面，并考虑社会责任的履行。</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评选标准：对环境的积极影响、社会责任感。</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4）作品提交格式与内容：</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要求：提交的作品需包括详细的项目报告、商业计划书和任何相关的技术文档。报告需要清晰、逻辑性强，且包含所有相关数据和图表。</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评选标准：报告的完整性、清晰度和专业性。</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5）展示与沟通能力：</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要求：准备一份展示文稿，用于竞赛当天的口头陈述。重点是清晰地传达项目的核心价值和创新点。</w:t>
            </w:r>
          </w:p>
          <w:p>
            <w:pPr>
              <w:widowControl/>
              <w:adjustRightInd w:val="0"/>
              <w:snapToGrid w:val="0"/>
              <w:spacing w:line="400" w:lineRule="exact"/>
              <w:ind w:firstLine="480" w:firstLineChars="200"/>
              <w:jc w:val="both"/>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kern w:val="0"/>
                <w:sz w:val="24"/>
                <w:lang w:val="en-US"/>
              </w:rPr>
              <w:t>评选标准：展示的清晰性、沟通能力</w:t>
            </w:r>
            <w:r>
              <w:rPr>
                <w:rFonts w:hint="eastAsia" w:eastAsia="仿宋" w:cs="Times New Roman"/>
                <w:kern w:val="0"/>
                <w:sz w:val="24"/>
                <w:lang w:val="en-US" w:eastAsia="zh-CN"/>
              </w:rPr>
              <w:t>，以及</w:t>
            </w:r>
            <w:r>
              <w:rPr>
                <w:rFonts w:hint="default" w:ascii="Times New Roman" w:hAnsi="Times New Roman" w:eastAsia="仿宋" w:cs="Times New Roman"/>
                <w:kern w:val="0"/>
                <w:sz w:val="24"/>
                <w:lang w:val="en-US"/>
              </w:rPr>
              <w:t>能否准确有效地回应评委的提问。</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979"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行业知识与最新趋势分享：工程师分享ICT行业与区块链技术的结合趋势，特别是在绿色能源和可持续发展领域的应用。提供行业报告、案例研究以及先进的技术动态，帮助学生了解当前市场和技术的前沿动态。</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技术培训和资源支持：提供技术层面的培训和支持，例如区块链技术的工作原理、智能合约的设计与部署，以及数据加密和安全性方面的知识。同时，提供部分企业资源（如软件工具、专业顾问等）支持他们的项目。</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3）商业模式和项目管理指导：指导学生构建一个可行的商业模式，包括市场分析、商业策略、盈利模式等。同时，教授他们项目管理的基本技能，如时间管理、团队协作、风险评估等。</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4）行业网络构建：帮助学生建立与行业专家、潜在投资者、合作伙伴的联系。</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 xml:space="preserve">5）可持续性与伦理指导：在绿色能源和可持续发展的背景下，对学生进行可持续性和伦理方面的指导。让他们理解其项目对环境和社会的长远影响，并在设计中融入这些考虑。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699"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1）资金支持与奖学金：根据排名情况，为部分获奖团队提供一定资金支持，用于进一步研发项目。</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2）实习或工作机会：提供实习或工作机会，让学生学习更多实践知识，并将他们的理念转化为实际应用。</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3）技术资源和设施使用：允许获奖团队使用公司的技术资源和设施，如服务器、软件许可证和实验室设备，以促进他们的研究和开发工作。</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4）市场与行业接触机会：为获奖团队提供参与行业会议、展览和网络活动的机会，帮助他们建立行业联系，增加项目的曝光度和影响力。</w:t>
            </w:r>
          </w:p>
        </w:tc>
      </w:tr>
    </w:tbl>
    <w:p>
      <w:pPr>
        <w:widowControl/>
        <w:adjustRightInd w:val="0"/>
        <w:snapToGrid w:val="0"/>
        <w:jc w:val="center"/>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-10</w:t>
      </w: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jc w:val="left"/>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31"/>
        <w:gridCol w:w="161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 xml:space="preserve">北京吉比信科技有限公司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北京市海淀区杏石口路甲23号3号楼1层1181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both"/>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kern w:val="0"/>
                <w:sz w:val="24"/>
                <w:lang w:val="en-US"/>
              </w:rPr>
              <w:t>北京吉比信科技有限公司致力专注于云网安全领域的高科技创新企业，主要为客户提供具有个性定制的数据安全、网络安全，人工智能等业务。在政府、航空、互联网、医疗、教育、气象、体育等众多领域，为客户提供技术服务。注册资本：200万、公司性质：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联系人</w:t>
            </w:r>
          </w:p>
        </w:tc>
        <w:tc>
          <w:tcPr>
            <w:tcW w:w="2531" w:type="dxa"/>
            <w:vAlign w:val="center"/>
          </w:tcPr>
          <w:p>
            <w:pPr>
              <w:widowControl/>
              <w:adjustRightInd w:val="0"/>
              <w:snapToGrid w:val="0"/>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kern w:val="0"/>
                <w:sz w:val="24"/>
                <w:lang w:val="en-US"/>
              </w:rPr>
              <w:t>夏老师</w:t>
            </w:r>
          </w:p>
        </w:tc>
        <w:tc>
          <w:tcPr>
            <w:tcW w:w="1618"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napToGrid w:val="0"/>
              <w:jc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kern w:val="0"/>
                <w:sz w:val="24"/>
                <w:lang w:val="en-US"/>
              </w:rPr>
              <w:t>13811270990</w:t>
            </w:r>
          </w:p>
        </w:tc>
      </w:tr>
    </w:tbl>
    <w:p>
      <w:pPr>
        <w:widowControl/>
        <w:tabs>
          <w:tab w:val="left" w:pos="8640"/>
        </w:tabs>
        <w:adjustRightInd w:val="0"/>
        <w:snapToGrid w:val="0"/>
        <w:spacing w:line="56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867"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题目</w:t>
            </w:r>
          </w:p>
        </w:tc>
        <w:tc>
          <w:tcPr>
            <w:tcW w:w="6669" w:type="dxa"/>
            <w:tcBorders>
              <w:tl2br w:val="nil"/>
              <w:tr2bl w:val="nil"/>
            </w:tcBorders>
            <w:shd w:val="clear" w:color="auto" w:fill="FFFFFF"/>
            <w:vAlign w:val="center"/>
          </w:tcPr>
          <w:p>
            <w:pPr>
              <w:widowControl/>
              <w:adjustRightInd w:val="0"/>
              <w:snapToGrid/>
              <w:spacing w:line="400" w:lineRule="exact"/>
              <w:jc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kern w:val="0"/>
                <w:sz w:val="24"/>
                <w:lang w:val="en-US"/>
              </w:rPr>
              <w:t>基于大语言模型（LLM）与生成式人工智能的企业绿色专利技术支持系统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行业领域</w:t>
            </w:r>
          </w:p>
        </w:tc>
        <w:tc>
          <w:tcPr>
            <w:tcW w:w="6669" w:type="dxa"/>
            <w:tcBorders>
              <w:tl2br w:val="nil"/>
              <w:tr2bl w:val="nil"/>
            </w:tcBorders>
            <w:shd w:val="clear" w:color="auto" w:fill="FFFFFF"/>
            <w:vAlign w:val="center"/>
          </w:tcPr>
          <w:p>
            <w:pPr>
              <w:widowControl/>
              <w:adjustRightInd w:val="0"/>
              <w:snapToGrid/>
              <w:jc w:val="center"/>
              <w:rPr>
                <w:rFonts w:hint="default" w:ascii="Times New Roman" w:hAnsi="Times New Roman" w:eastAsia="方正仿宋简体" w:cs="Times New Roman"/>
                <w:kern w:val="0"/>
                <w:sz w:val="24"/>
                <w:lang w:val="en-US"/>
              </w:rPr>
            </w:pPr>
            <w:r>
              <w:rPr>
                <w:rFonts w:hint="default" w:ascii="Times New Roman" w:hAnsi="Times New Roman" w:eastAsia="仿宋" w:cs="Times New Roman"/>
                <w:kern w:val="0"/>
                <w:sz w:val="24"/>
                <w:lang w:val="en-US"/>
              </w:rPr>
              <w:t>生成式人工智能、自然语言处理、数据挖掘、信息系统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771"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在我国生态文明建设与持续稳妥推进“双碳”目标背景下，绿色技术创新蓬勃发展，准确预测未来技术演进路径、特征与趋势，开展创新研发与专利布局对于企业与行业发展至关重要。本项目拟采用人工智能与专利挖掘方法预测绿色技术和趋势。通过深入分析专利格局，辅助产业相关者制定战略性决策，并预测不断进化的绿色能源技术格局。</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本研究将专利技术分析与大数据预测模型相结合。具体地，通过整合专利数据、市场数据和环境变化数据，构建一个综合的预测模型。利用深度学习算法，模型能够不断学习和适应新的数据，提高预测的准确性。</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为提高用户体验和决策效率，开发一个基于自然语言交互的用户界面。该系统结合大语言模型与生成式人工智能，通过系统界面，用户可以用自然语言查询特定的技术领域或趋势，系统将根据用户的需求提供个性化的分析报告和建议。这种动态、交互式的分析方法，不仅使技术预测更加直观和便捷，而且更贴合用户的具体需求。</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总体而言，通过综合利用专利分析、大数据、自然语言处理和机器学习技术，研究旨在为绿色技术的发展提供全面、深入、动态的预测和分析。这不仅有助于行业利益相关者更好地理解市场和技术趋势，还能支持他们做出更可靠和有效的战略决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95"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预期取得的</w:t>
            </w:r>
          </w:p>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开发基于LLM和生成式人工智能的企业绿色专利技术支持系统，具体的经济社会效益如下</w:t>
            </w:r>
            <w:r>
              <w:rPr>
                <w:rFonts w:hint="eastAsia" w:eastAsia="仿宋" w:cs="Times New Roman"/>
                <w:kern w:val="0"/>
                <w:sz w:val="24"/>
                <w:lang w:val="en-US" w:eastAsia="zh-CN"/>
              </w:rPr>
              <w:t>：</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1）提升专利审查速度：</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基于LLM的系统能够自动分析和整理海量的专利文献，有效支持专利审查团队。通过提高审查效率，系统可以减少专利申请的等待时间，从而降低企业因等待审查而导致的时间成本和机会成本。</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2）帮助企业捕捉技术创新导向的市场机遇</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 xml:space="preserve">系统通过LLM技术深度挖掘技术文献和专利信息，帮助企业发现新的技术创新和市场机会。可以促使企业更迅速地投入相关领域的研发，抢占市场先机，增加销售额和市场份额。 </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提升企业环境、社会和公司治理（ESG）形象：</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通过系统的帮助，企业能够构建更加健全的绿色专利组合，展现其在环保和可持续发展方面的承诺。这将有助于提升企业的社会形象，增强消费者和投资者对企业的信任度，可能带来更多的客户和投资。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1）创新性与技术实现：</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要求作品在技术层面展现创新性，特别是在大语言模型（LLM）和生成式人工智能的应用上。提交方案应详细阐述技术实现的可行性和潜在的技术挑战及解决方案。</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2）绿色专利技术的应用价值：</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作品需突出其在促进企业绿色专利技术方面的实际应用价值。应包括对潜在市场需求的分析及如何有效解决现有问题的说明。</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3）商业模式与市场策略：</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要求提供清晰的商业模式描述，包括但不限于盈利模式、市场定位和目标用户。需要包含市场推广策略和潜在风险评估。</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4）提交的形式与时间：</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提交的作品应以书面报告和演示文稿的形式呈现。</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5）评选标准与优劣标准：</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明确评选标准，包括技术创新性、市场潜力、实际应用价值、团队呈现能力和项目可持续性等方面。描述优秀作品应具备的特点，以及劣质作品常见的缺陷。</w:t>
            </w:r>
          </w:p>
        </w:tc>
      </w:tr>
    </w:tbl>
    <w:p>
      <w:pPr>
        <w:widowControl/>
        <w:tabs>
          <w:tab w:val="left" w:pos="8640"/>
        </w:tabs>
        <w:adjustRightInd w:val="0"/>
        <w:snapToGrid w:val="0"/>
        <w:spacing w:line="440" w:lineRule="exact"/>
        <w:jc w:val="left"/>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440" w:lineRule="exact"/>
        <w:jc w:val="left"/>
        <w:rPr>
          <w:rFonts w:hint="default" w:ascii="Times New Roman" w:hAnsi="Times New Roman" w:eastAsia="方正楷体简体" w:cs="Times New Roman"/>
          <w:bCs/>
          <w:spacing w:val="6"/>
          <w:w w:val="90"/>
          <w:kern w:val="0"/>
          <w:sz w:val="24"/>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979"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1）行业知识与最新趋势分享：工程师基于大语言模型与生成式人工智能的结合趋势与领域应用。提供行业报告、案例研究以及先进的技术动态，帮助学生了解当前市场和技术的前沿动态。</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2）技术培训和资源支持：提供技术层面的培训和支持，例如大语言模型的工作原理、生成式人工智能的设计与部署，以及数据加密和安全性方面的知识。同时，提供部分企业资源（如软件工具、专业顾问等）支持他们的项目。</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3）商业模式和项目管理指导：指导学生构建一个可行的商业模式，包括市场分析、商业策略、盈利模式等。同时，教授他们项目管理的基本技能，如时间管理、团队协作、风险评估等。</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4）行业网络构建：帮助学生建立与行业专家、潜在投资者、合作伙伴的联系。</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 xml:space="preserve">5）可持续性与伦理指导：在绿色能源和可持续发展的背景下，对学生进行可持续性和伦理方面的指导。让他们理解其项目对环境和社会的长远影响，并在设计中融入这些考虑。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337"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根据排名情况，为部分获奖团队提供一定资金支持；</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可提供实习或工作机会；</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允许获奖团队使用公司的技术资源和设施，如服务器、软件许可证和实验室设备，以促进他们的研究和开发工作；</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为获奖团队提供参与行业会议、展览和网络活动的机会，帮助他们建立行业联系，增加项目的曝光度和影响力。</w:t>
            </w:r>
          </w:p>
        </w:tc>
      </w:tr>
    </w:tbl>
    <w:p>
      <w:pPr>
        <w:widowControl/>
        <w:adjustRightInd w:val="0"/>
        <w:snapToGrid w:val="0"/>
        <w:jc w:val="center"/>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 xml:space="preserve"> “青智未来”新质生产力专项赛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-11</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40"/>
          <w:szCs w:val="40"/>
          <w:lang w:val="en-US"/>
        </w:rPr>
      </w:pPr>
    </w:p>
    <w:p>
      <w:pPr>
        <w:widowControl/>
        <w:tabs>
          <w:tab w:val="left" w:pos="8640"/>
        </w:tabs>
        <w:adjustRightInd w:val="0"/>
        <w:snapToGrid w:val="0"/>
        <w:ind w:firstLine="426"/>
        <w:jc w:val="center"/>
        <w:rPr>
          <w:rFonts w:hint="default" w:ascii="Times New Roman" w:hAnsi="Times New Roman" w:eastAsia="方正黑体简体" w:cs="Times New Roman"/>
          <w:bCs/>
          <w:spacing w:val="6"/>
          <w:kern w:val="0"/>
          <w:sz w:val="21"/>
          <w:szCs w:val="21"/>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64"/>
        <w:gridCol w:w="1485"/>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国汽（北京）智能网联汽车研究院有限公司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单位类型</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北京市北京经济技术开发区融兴北三街39号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jc w:val="both"/>
              <w:rPr>
                <w:rFonts w:hint="default" w:ascii="Times New Roman" w:hAnsi="Times New Roman" w:eastAsia="方正仿宋简体" w:cs="Times New Roman"/>
                <w:bCs/>
                <w:spacing w:val="6"/>
                <w:kern w:val="0"/>
                <w:sz w:val="24"/>
                <w:szCs w:val="28"/>
                <w:lang w:val="en-US"/>
              </w:rPr>
            </w:pPr>
            <w:r>
              <w:rPr>
                <w:rFonts w:hint="default" w:ascii="Times New Roman" w:hAnsi="Times New Roman" w:eastAsia="仿宋" w:cs="Times New Roman"/>
                <w:kern w:val="0"/>
                <w:sz w:val="24"/>
                <w:lang w:val="en-US"/>
              </w:rPr>
              <w:t>国汽（北京）智能网联汽车研究院有限公司由中国汽车工程学会、中国汽车工业协会及中国智能网联汽车产业创新联盟共同发起筹建，成立于2018年3月19日，注册地址为北京市经济技术开发区，注册资本11亿元。23家股东单位均为整车、零部件、信息通信等领域的领军企业和科研机构。2019年5月30日，国家工业和信息化部正式批复同意由国汽（北京）智能网联汽车研究院有限公司组建国家智能网联汽车创新中心。发挥国家智能网联汽车创新中心作用，担当产业发展核心智库、共性技术研发中心、创新服务公共平台、创新生态协同平台、创新成果转化基地，提升我国智能网联汽车及相关产业在全球价值链中的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668" w:type="dxa"/>
            <w:vAlign w:val="center"/>
          </w:tcPr>
          <w:p>
            <w:pPr>
              <w:widowControl/>
              <w:adjustRightInd w:val="0"/>
              <w:snapToGrid w:val="0"/>
              <w:ind w:firstLine="280" w:firstLineChars="100"/>
              <w:jc w:val="both"/>
              <w:rPr>
                <w:rFonts w:hint="default" w:ascii="Times New Roman" w:hAnsi="Times New Roman" w:eastAsia="楷体" w:cs="Times New Roman"/>
                <w:bCs/>
                <w:spacing w:val="6"/>
                <w:kern w:val="0"/>
                <w:sz w:val="24"/>
                <w:szCs w:val="28"/>
                <w:lang w:val="en-US"/>
              </w:rPr>
            </w:pPr>
            <w:r>
              <w:rPr>
                <w:rFonts w:hint="default" w:ascii="Times New Roman" w:hAnsi="Times New Roman" w:eastAsia="楷体" w:cs="Times New Roman"/>
                <w:kern w:val="0"/>
                <w:sz w:val="28"/>
                <w:szCs w:val="32"/>
                <w:lang w:val="en-US"/>
              </w:rPr>
              <w:t>联系人</w:t>
            </w:r>
          </w:p>
        </w:tc>
        <w:tc>
          <w:tcPr>
            <w:tcW w:w="2664" w:type="dxa"/>
            <w:vAlign w:val="center"/>
          </w:tcPr>
          <w:p>
            <w:pPr>
              <w:widowControl/>
              <w:adjustRightInd w:val="0"/>
              <w:snapToGrid w:val="0"/>
              <w:jc w:val="center"/>
              <w:rPr>
                <w:rFonts w:hint="default" w:ascii="Times New Roman" w:hAnsi="Times New Roman" w:eastAsia="仿宋" w:cs="Times New Roman"/>
                <w:bCs/>
                <w:spacing w:val="6"/>
                <w:kern w:val="0"/>
                <w:sz w:val="24"/>
                <w:szCs w:val="28"/>
                <w:lang w:val="en-US"/>
              </w:rPr>
            </w:pPr>
            <w:r>
              <w:rPr>
                <w:rFonts w:hint="default" w:ascii="Times New Roman" w:hAnsi="Times New Roman" w:eastAsia="仿宋" w:cs="Times New Roman"/>
                <w:bCs/>
                <w:spacing w:val="6"/>
                <w:kern w:val="0"/>
                <w:sz w:val="24"/>
                <w:szCs w:val="28"/>
                <w:lang w:val="en-US"/>
              </w:rPr>
              <w:t>岳老师</w:t>
            </w:r>
          </w:p>
        </w:tc>
        <w:tc>
          <w:tcPr>
            <w:tcW w:w="1485" w:type="dxa"/>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783" w:type="dxa"/>
            <w:vAlign w:val="center"/>
          </w:tcPr>
          <w:p>
            <w:pPr>
              <w:widowControl/>
              <w:adjustRightInd w:val="0"/>
              <w:snapToGrid w:val="0"/>
              <w:jc w:val="center"/>
              <w:rPr>
                <w:rFonts w:hint="default" w:ascii="Times New Roman" w:hAnsi="Times New Roman" w:eastAsia="方正仿宋简体" w:cs="Times New Roman"/>
                <w:kern w:val="0"/>
                <w:sz w:val="24"/>
                <w:lang w:val="en-US"/>
              </w:rPr>
            </w:pPr>
            <w:r>
              <w:rPr>
                <w:rFonts w:hint="default" w:ascii="Times New Roman" w:hAnsi="Times New Roman" w:eastAsia="方正仿宋简体" w:cs="Times New Roman"/>
                <w:bCs/>
                <w:spacing w:val="6"/>
                <w:kern w:val="0"/>
                <w:sz w:val="24"/>
                <w:szCs w:val="28"/>
                <w:lang w:val="en-US"/>
              </w:rPr>
              <w:t>13820880338</w:t>
            </w:r>
          </w:p>
        </w:tc>
      </w:tr>
    </w:tbl>
    <w:p>
      <w:pPr>
        <w:widowControl/>
        <w:tabs>
          <w:tab w:val="left" w:pos="8640"/>
        </w:tabs>
        <w:adjustRightInd w:val="0"/>
        <w:snapToGrid w:val="0"/>
        <w:spacing w:line="560" w:lineRule="exact"/>
        <w:ind w:firstLine="637"/>
        <w:jc w:val="both"/>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560" w:lineRule="exact"/>
        <w:jc w:val="both"/>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题目</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智能网联汽车安全监测与防护系统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835"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行业领域</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智能网联汽车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71" w:hRule="atLeast"/>
          <w:jc w:val="center"/>
        </w:trPr>
        <w:tc>
          <w:tcPr>
            <w:tcW w:w="1835" w:type="dxa"/>
            <w:tcBorders>
              <w:tl2br w:val="nil"/>
              <w:tr2bl w:val="nil"/>
            </w:tcBorders>
            <w:shd w:val="clear" w:color="auto" w:fill="FFFFFF"/>
            <w:vAlign w:val="center"/>
          </w:tcPr>
          <w:p>
            <w:pPr>
              <w:widowControl/>
              <w:adjustRightInd w:val="0"/>
              <w:snapToGrid w:val="0"/>
              <w:ind w:firstLine="280" w:firstLineChars="100"/>
              <w:jc w:val="both"/>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智能网联汽车已成为汽车产业发展的战略方向，安全是智能网联汽车大规模商业化应用的最大挑战。项目旨在开发保障智能网联汽车安全运行的实时在线监测与防护系统，系统可结合多维感知、智能分析、决策控制等技术，实现对智能网联汽车行驶全过程安全状态监测与防护。</w:t>
            </w:r>
          </w:p>
          <w:p>
            <w:pPr>
              <w:widowControl/>
              <w:adjustRightInd w:val="0"/>
              <w:snapToGrid w:val="0"/>
              <w:spacing w:line="400" w:lineRule="exact"/>
              <w:ind w:firstLine="480" w:firstLineChars="200"/>
              <w:jc w:val="both"/>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系统的核心功能和目标包括：①智能网联汽车行驶安全风险评估。包括车辆周边环境带来的碰撞风险、违规风险、驾乘人员操作风险等；②智能网联汽车系统安全状态监测。结合风险评估结果对车辆系统安全状态进行综合分析，实时监测车辆是否处于可能发生事故的不安全状态；③智能网联汽车安全防护。结合车辆安全状态监测结果，在车辆可能发生碰撞、失控等安全事故时，系统可介入车辆控制，保障智能网联汽车安全。</w:t>
            </w:r>
          </w:p>
          <w:p>
            <w:pPr>
              <w:widowControl/>
              <w:adjustRightInd w:val="0"/>
              <w:snapToGrid w:val="0"/>
              <w:ind w:firstLine="504" w:firstLineChars="200"/>
              <w:jc w:val="both"/>
              <w:rPr>
                <w:rFonts w:hint="default" w:ascii="Times New Roman" w:hAnsi="Times New Roman" w:eastAsia="方正仿宋简体" w:cs="Times New Roman"/>
                <w:bCs/>
                <w:spacing w:val="6"/>
                <w:kern w:val="0"/>
                <w:sz w:val="24"/>
                <w:szCs w:val="28"/>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95" w:hRule="atLeast"/>
          <w:jc w:val="center"/>
        </w:trPr>
        <w:tc>
          <w:tcPr>
            <w:tcW w:w="1835" w:type="dxa"/>
            <w:tcBorders>
              <w:tl2br w:val="nil"/>
              <w:tr2bl w:val="nil"/>
            </w:tcBorders>
            <w:shd w:val="clear" w:color="auto" w:fill="FFFFFF"/>
            <w:vAlign w:val="center"/>
          </w:tcPr>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预期取得的</w:t>
            </w:r>
          </w:p>
          <w:p>
            <w:pPr>
              <w:widowControl/>
              <w:adjustRightInd w:val="0"/>
              <w:snapToGrid w:val="0"/>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系统可为智能网联汽车行驶全过程提供安全保障，为智能网联汽车开展大规模商业化应用保驾护航。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ind w:firstLine="280" w:firstLineChars="100"/>
              <w:jc w:val="both"/>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1.研制出完整的软硬件系统，并在智能网联汽车上开展测试与验证；</w:t>
            </w:r>
          </w:p>
          <w:p>
            <w:pPr>
              <w:widowControl/>
              <w:adjustRightInd w:val="0"/>
              <w:snapToGrid w:val="0"/>
              <w:spacing w:line="400" w:lineRule="exact"/>
              <w:ind w:firstLine="480" w:firstLineChars="200"/>
              <w:jc w:val="both"/>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2.系统可实现对智能网联汽车行驶安全风险的准确评估，在典型危险场景下，系统可有效介入车辆控制以保障行驶安全。</w:t>
            </w:r>
          </w:p>
        </w:tc>
      </w:tr>
    </w:tbl>
    <w:p>
      <w:pPr>
        <w:widowControl/>
        <w:tabs>
          <w:tab w:val="left" w:pos="8640"/>
        </w:tabs>
        <w:adjustRightInd w:val="0"/>
        <w:snapToGrid w:val="0"/>
        <w:spacing w:line="440" w:lineRule="exact"/>
        <w:ind w:firstLine="637"/>
        <w:jc w:val="center"/>
        <w:rPr>
          <w:rFonts w:hint="default" w:ascii="Times New Roman" w:hAnsi="Times New Roman" w:eastAsia="方正黑体简体" w:cs="Times New Roman"/>
          <w:bCs/>
          <w:spacing w:val="6"/>
          <w:kern w:val="0"/>
          <w:sz w:val="32"/>
          <w:szCs w:val="32"/>
          <w:lang w:val="en-GB"/>
        </w:rPr>
      </w:pPr>
    </w:p>
    <w:p>
      <w:pPr>
        <w:widowControl/>
        <w:tabs>
          <w:tab w:val="left" w:pos="8640"/>
        </w:tabs>
        <w:adjustRightInd w:val="0"/>
        <w:snapToGrid w:val="0"/>
        <w:spacing w:line="440" w:lineRule="exact"/>
        <w:jc w:val="both"/>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737"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为了确保参赛团队在比赛中取得优异成绩，将提供全方位的指导帮助和支持，包括：</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 参观应用场景：将安排参赛团队参观相关的实际应用场景，以便更好地了解行业现状、发展趋势和应用前景。</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 实践调研：将组织参赛团队进行实践调研，深入了解行业内的实际问题和需求。调研对象包括企业、学校和政府部门等。</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 配备专门指导人员：将为参赛团队配备经验丰富的指导老师，提供技术指导、创意指导和策略建议等。指导老师将与参赛团队保持密切沟通，确保作品质量和创新性。</w:t>
            </w:r>
          </w:p>
          <w:p>
            <w:pPr>
              <w:widowControl/>
              <w:adjustRightInd w:val="0"/>
              <w:snapToGrid w:val="0"/>
              <w:spacing w:line="400" w:lineRule="exact"/>
              <w:ind w:firstLine="480" w:firstLineChars="200"/>
              <w:jc w:val="both"/>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kern w:val="0"/>
                <w:sz w:val="24"/>
                <w:lang w:val="en-US"/>
              </w:rPr>
              <w:t>• 推动产教融合：将积极与相关企业、学校和政府部门合作，推动产教融合，为参赛团队提供更多实践机会和资源。将</w:t>
            </w:r>
            <w:r>
              <w:rPr>
                <w:rFonts w:hint="eastAsia" w:eastAsia="仿宋" w:cs="Times New Roman"/>
                <w:kern w:val="0"/>
                <w:sz w:val="24"/>
                <w:lang w:val="en-US" w:eastAsia="zh-CN"/>
              </w:rPr>
              <w:t>邀请</w:t>
            </w:r>
            <w:r>
              <w:rPr>
                <w:rFonts w:hint="default" w:ascii="Times New Roman" w:hAnsi="Times New Roman" w:eastAsia="仿宋" w:cs="Times New Roman"/>
                <w:kern w:val="0"/>
                <w:sz w:val="24"/>
                <w:lang w:val="en-US"/>
              </w:rPr>
              <w:t>行业专家和企业代表参加比赛评审和讲座活动，为参赛团队提供更多学习机会。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99"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按照排名情况，为部分优秀获奖团队提供实习实践机会、就业岗位推荐、求职“绿色通道”等。</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对于被选为“擂主”团队的获奖者，将提供以下奖励措施：</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 优先实习实践机会：为“擂主”团队成员提供优先实习实践的机会，帮助他们提升实践能力。</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 优先就业岗位推荐：为“擂主”团队成员提供优先就业岗位推荐的机会，增加他们的就业机会。</w:t>
            </w:r>
          </w:p>
          <w:p>
            <w:pPr>
              <w:widowControl/>
              <w:adjustRightInd w:val="0"/>
              <w:snapToGrid w:val="0"/>
              <w:spacing w:line="400" w:lineRule="exact"/>
              <w:ind w:firstLine="480" w:firstLineChars="200"/>
              <w:jc w:val="both"/>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 产教融合：为“擂主”团队所在高校提供与企业合作的机会，推动产教融合，促进科技成果转化。</w:t>
            </w:r>
          </w:p>
          <w:p>
            <w:pPr>
              <w:widowControl/>
              <w:adjustRightInd w:val="0"/>
              <w:snapToGrid w:val="0"/>
              <w:spacing w:line="400" w:lineRule="exact"/>
              <w:ind w:firstLine="480" w:firstLineChars="200"/>
              <w:jc w:val="both"/>
              <w:rPr>
                <w:rFonts w:hint="default" w:ascii="Times New Roman" w:hAnsi="Times New Roman" w:eastAsia="方正仿宋简体" w:cs="Times New Roman"/>
                <w:bCs/>
                <w:spacing w:val="6"/>
                <w:kern w:val="0"/>
                <w:sz w:val="24"/>
                <w:szCs w:val="28"/>
                <w:lang w:val="en-GB"/>
              </w:rPr>
            </w:pPr>
            <w:r>
              <w:rPr>
                <w:rFonts w:hint="default" w:ascii="Times New Roman" w:hAnsi="Times New Roman" w:eastAsia="仿宋" w:cs="Times New Roman"/>
                <w:kern w:val="0"/>
                <w:sz w:val="24"/>
                <w:lang w:val="en-US"/>
              </w:rPr>
              <w:t>• 专属成果孵化政策：为“擂主”团队提供专属的成果孵化政策，支持他们将获奖项目转化为实际产品和服务。</w:t>
            </w:r>
          </w:p>
        </w:tc>
      </w:tr>
    </w:tbl>
    <w:p>
      <w:pPr>
        <w:widowControl/>
        <w:adjustRightInd w:val="0"/>
        <w:snapToGrid w:val="0"/>
        <w:jc w:val="center"/>
        <w:rPr>
          <w:rFonts w:hint="default" w:ascii="Times New Roman" w:hAnsi="Times New Roman" w:eastAsia="Times New Roman" w:cs="Times New Roman"/>
          <w:kern w:val="0"/>
          <w:sz w:val="24"/>
          <w:lang w:val="en-GB"/>
        </w:rPr>
      </w:pPr>
      <w:r>
        <w:rPr>
          <w:rFonts w:hint="default" w:ascii="Times New Roman" w:hAnsi="Times New Roman" w:eastAsia="Times New Roman" w:cs="Times New Roman"/>
          <w:kern w:val="0"/>
          <w:sz w:val="24"/>
          <w:lang w:val="en-GB"/>
        </w:rPr>
        <w:br w:type="page"/>
      </w:r>
    </w:p>
    <w:p>
      <w:pPr>
        <w:widowControl/>
        <w:adjustRightInd w:val="0"/>
        <w:snapToGrid w:val="0"/>
        <w:spacing w:line="600" w:lineRule="exact"/>
        <w:jc w:val="center"/>
        <w:rPr>
          <w:rFonts w:hint="default" w:ascii="Times New Roman" w:hAnsi="Times New Roman" w:eastAsia="方正小标宋简体" w:cs="Times New Roman"/>
          <w:kern w:val="0"/>
          <w:sz w:val="44"/>
          <w:szCs w:val="32"/>
          <w:lang w:val="en-GB"/>
        </w:rPr>
      </w:pPr>
      <w:r>
        <w:rPr>
          <w:rFonts w:hint="default" w:ascii="Times New Roman" w:hAnsi="Times New Roman" w:eastAsia="方正小标宋简体" w:cs="Times New Roman"/>
          <w:kern w:val="0"/>
          <w:sz w:val="44"/>
          <w:szCs w:val="32"/>
          <w:lang w:val="en-GB"/>
        </w:rPr>
        <w:t>“青智未来”新质生产力专项赛</w:t>
      </w:r>
    </w:p>
    <w:p>
      <w:pPr>
        <w:widowControl/>
        <w:tabs>
          <w:tab w:val="left" w:pos="8640"/>
        </w:tabs>
        <w:adjustRightInd w:val="0"/>
        <w:snapToGrid w:val="0"/>
        <w:spacing w:line="640" w:lineRule="exact"/>
        <w:jc w:val="center"/>
        <w:rPr>
          <w:rFonts w:hint="default" w:ascii="Times New Roman" w:hAnsi="Times New Roman" w:eastAsia="方正小标宋简体" w:cs="Times New Roman"/>
          <w:bCs/>
          <w:kern w:val="0"/>
          <w:sz w:val="32"/>
          <w:szCs w:val="32"/>
          <w:lang w:val="en-US"/>
        </w:rPr>
      </w:pPr>
      <w:r>
        <w:rPr>
          <w:rFonts w:hint="default" w:ascii="Times New Roman" w:hAnsi="Times New Roman" w:eastAsia="方正小标宋简体" w:cs="Times New Roman"/>
          <w:kern w:val="0"/>
          <w:sz w:val="44"/>
          <w:szCs w:val="32"/>
          <w:lang w:val="en-GB"/>
        </w:rPr>
        <w:t>需求榜单</w:t>
      </w:r>
      <w:r>
        <w:rPr>
          <w:rFonts w:hint="default" w:ascii="Times New Roman" w:hAnsi="Times New Roman" w:eastAsia="方正小标宋简体" w:cs="Times New Roman"/>
          <w:kern w:val="0"/>
          <w:sz w:val="44"/>
          <w:szCs w:val="32"/>
          <w:lang w:val="en-US"/>
        </w:rPr>
        <w:t>-12</w:t>
      </w:r>
    </w:p>
    <w:p>
      <w:pPr>
        <w:widowControl/>
        <w:adjustRightInd w:val="0"/>
        <w:snapToGrid w:val="0"/>
        <w:jc w:val="center"/>
        <w:rPr>
          <w:rFonts w:hint="default" w:ascii="Times New Roman" w:hAnsi="Times New Roman" w:eastAsia="方正小标宋简体" w:cs="Times New Roman"/>
          <w:kern w:val="0"/>
          <w:sz w:val="40"/>
          <w:szCs w:val="40"/>
          <w:lang w:val="en-US"/>
        </w:rPr>
      </w:pPr>
    </w:p>
    <w:p>
      <w:pPr>
        <w:widowControl/>
        <w:adjustRightInd w:val="0"/>
        <w:snapToGrid w:val="0"/>
        <w:jc w:val="center"/>
        <w:rPr>
          <w:rFonts w:hint="default" w:ascii="Times New Roman" w:hAnsi="Times New Roman" w:eastAsia="方正黑体简体" w:cs="Times New Roman"/>
          <w:kern w:val="0"/>
          <w:sz w:val="24"/>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一、单位信息</w:t>
      </w:r>
    </w:p>
    <w:tbl>
      <w:tblPr>
        <w:tblStyle w:val="8"/>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11"/>
        <w:gridCol w:w="1495"/>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单位名称</w:t>
            </w:r>
          </w:p>
        </w:tc>
        <w:tc>
          <w:tcPr>
            <w:tcW w:w="6932" w:type="dxa"/>
            <w:gridSpan w:val="3"/>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百洋医药集团有限公司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单位类型</w:t>
            </w:r>
          </w:p>
        </w:tc>
        <w:tc>
          <w:tcPr>
            <w:tcW w:w="6932" w:type="dxa"/>
            <w:gridSpan w:val="3"/>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民</w:t>
            </w:r>
            <w:r>
              <w:rPr>
                <w:rFonts w:hint="default" w:ascii="Times New Roman" w:hAnsi="Times New Roman" w:eastAsia="仿宋" w:cs="Times New Roman"/>
                <w:kern w:val="0"/>
                <w:sz w:val="24"/>
                <w:lang w:val="en-GB"/>
              </w:rPr>
              <w:t>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地址</w:t>
            </w:r>
          </w:p>
        </w:tc>
        <w:tc>
          <w:tcPr>
            <w:tcW w:w="6932" w:type="dxa"/>
            <w:gridSpan w:val="3"/>
          </w:tcPr>
          <w:p>
            <w:pPr>
              <w:widowControl/>
              <w:adjustRightInd w:val="0"/>
              <w:snapToGrid w:val="0"/>
              <w:spacing w:line="400" w:lineRule="exact"/>
              <w:jc w:val="center"/>
              <w:rPr>
                <w:rFonts w:hint="default" w:ascii="Times New Roman" w:hAnsi="Times New Roman" w:eastAsia="仿宋" w:cs="Times New Roman"/>
                <w:kern w:val="0"/>
                <w:sz w:val="24"/>
                <w:lang w:val="en-GB"/>
              </w:rPr>
            </w:pPr>
            <w:r>
              <w:rPr>
                <w:rFonts w:hint="default" w:ascii="Times New Roman" w:hAnsi="Times New Roman" w:eastAsia="仿宋" w:cs="Times New Roman"/>
                <w:kern w:val="0"/>
                <w:sz w:val="24"/>
                <w:lang w:val="en-GB"/>
              </w:rPr>
              <w:t>北京市中关村科技园区门头沟园平安路20号院5号楼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1668" w:type="dxa"/>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单位</w:t>
            </w:r>
            <w:r>
              <w:rPr>
                <w:rFonts w:hint="default" w:ascii="Times New Roman" w:hAnsi="Times New Roman" w:eastAsia="楷体" w:cs="Times New Roman"/>
                <w:kern w:val="0"/>
                <w:sz w:val="28"/>
                <w:szCs w:val="32"/>
                <w:lang w:val="en-GB"/>
              </w:rPr>
              <w:t>简介</w:t>
            </w:r>
          </w:p>
        </w:tc>
        <w:tc>
          <w:tcPr>
            <w:tcW w:w="6932" w:type="dxa"/>
            <w:gridSpan w:val="3"/>
          </w:tcPr>
          <w:p>
            <w:pPr>
              <w:widowControl/>
              <w:adjustRightInd/>
              <w:snapToGrid/>
              <w:spacing w:line="400" w:lineRule="exact"/>
              <w:ind w:firstLine="480" w:firstLineChars="200"/>
              <w:jc w:val="left"/>
              <w:textAlignment w:val="center"/>
              <w:rPr>
                <w:rFonts w:hint="default" w:ascii="Times New Roman" w:hAnsi="Times New Roman" w:eastAsia="方正仿宋简体" w:cs="Times New Roman"/>
                <w:color w:val="000000"/>
                <w:kern w:val="0"/>
                <w:sz w:val="24"/>
                <w:lang w:val="en-GB"/>
              </w:rPr>
            </w:pPr>
            <w:bookmarkStart w:id="0" w:name="OLE_LINK8"/>
            <w:r>
              <w:rPr>
                <w:rFonts w:hint="default" w:ascii="Times New Roman" w:hAnsi="Times New Roman" w:eastAsia="仿宋" w:cs="Times New Roman"/>
                <w:kern w:val="0"/>
                <w:sz w:val="24"/>
                <w:lang w:val="en-US"/>
              </w:rPr>
              <w:t>百洋医药集团是以科技创新为驱动力的健康产业集团。集团以商业化能力为基础，以资产增值为核心，以创新孵化为特色，核心业务包括健康品牌商业化平台和创新成果投资孵化，致力于以科技创新优化医疗场景。</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668" w:type="dxa"/>
            <w:vAlign w:val="center"/>
          </w:tcPr>
          <w:p>
            <w:pPr>
              <w:widowControl/>
              <w:adjustRightInd w:val="0"/>
              <w:snapToGrid/>
              <w:spacing w:line="240" w:lineRule="auto"/>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US"/>
              </w:rPr>
              <w:t>技术联系人</w:t>
            </w:r>
          </w:p>
        </w:tc>
        <w:tc>
          <w:tcPr>
            <w:tcW w:w="2811" w:type="dxa"/>
            <w:vAlign w:val="center"/>
          </w:tcPr>
          <w:p>
            <w:pPr>
              <w:widowControl/>
              <w:adjustRightInd w:val="0"/>
              <w:snapToGrid w:val="0"/>
              <w:spacing w:line="240" w:lineRule="auto"/>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原老师</w:t>
            </w:r>
          </w:p>
        </w:tc>
        <w:tc>
          <w:tcPr>
            <w:tcW w:w="1495" w:type="dxa"/>
            <w:vAlign w:val="center"/>
          </w:tcPr>
          <w:p>
            <w:pPr>
              <w:widowControl/>
              <w:adjustRightInd w:val="0"/>
              <w:snapToGrid/>
              <w:spacing w:line="240" w:lineRule="auto"/>
              <w:jc w:val="center"/>
              <w:rPr>
                <w:rFonts w:hint="default" w:ascii="Times New Roman" w:hAnsi="Times New Roman" w:eastAsia="方正楷体简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626" w:type="dxa"/>
            <w:vAlign w:val="center"/>
          </w:tcPr>
          <w:p>
            <w:pPr>
              <w:widowControl/>
              <w:adjustRightInd/>
              <w:snapToGrid/>
              <w:jc w:val="center"/>
              <w:textAlignment w:val="center"/>
              <w:rPr>
                <w:rFonts w:hint="default" w:ascii="Times New Roman" w:hAnsi="Times New Roman" w:eastAsia="方正仿宋简体" w:cs="Times New Roman"/>
                <w:color w:val="000000"/>
                <w:kern w:val="0"/>
                <w:sz w:val="24"/>
                <w:lang w:val="en-US"/>
              </w:rPr>
            </w:pPr>
            <w:r>
              <w:rPr>
                <w:rFonts w:hint="default" w:ascii="Times New Roman" w:hAnsi="Times New Roman" w:eastAsia="方正仿宋简体" w:cs="Times New Roman"/>
                <w:color w:val="000000"/>
                <w:kern w:val="0"/>
                <w:sz w:val="24"/>
                <w:lang w:val="en-US"/>
              </w:rPr>
              <w:t>13699185801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668" w:type="dxa"/>
            <w:vAlign w:val="center"/>
          </w:tcPr>
          <w:p>
            <w:pPr>
              <w:widowControl/>
              <w:adjustRightInd w:val="0"/>
              <w:snapToGrid/>
              <w:spacing w:line="240" w:lineRule="auto"/>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项目联系人</w:t>
            </w:r>
          </w:p>
        </w:tc>
        <w:tc>
          <w:tcPr>
            <w:tcW w:w="2811" w:type="dxa"/>
            <w:vAlign w:val="center"/>
          </w:tcPr>
          <w:p>
            <w:pPr>
              <w:widowControl/>
              <w:adjustRightInd w:val="0"/>
              <w:snapToGrid w:val="0"/>
              <w:spacing w:line="240" w:lineRule="auto"/>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刁老师</w:t>
            </w:r>
          </w:p>
        </w:tc>
        <w:tc>
          <w:tcPr>
            <w:tcW w:w="1495" w:type="dxa"/>
            <w:vAlign w:val="center"/>
          </w:tcPr>
          <w:p>
            <w:pPr>
              <w:widowControl/>
              <w:adjustRightInd w:val="0"/>
              <w:snapToGrid/>
              <w:spacing w:line="240" w:lineRule="auto"/>
              <w:jc w:val="center"/>
              <w:rPr>
                <w:rFonts w:hint="default" w:ascii="Times New Roman" w:hAnsi="Times New Roman" w:eastAsia="方正楷体简体" w:cs="Times New Roman"/>
                <w:kern w:val="0"/>
                <w:sz w:val="28"/>
                <w:szCs w:val="32"/>
                <w:lang w:val="en-US"/>
              </w:rPr>
            </w:pPr>
            <w:r>
              <w:rPr>
                <w:rFonts w:hint="default" w:ascii="Times New Roman" w:hAnsi="Times New Roman" w:eastAsia="楷体" w:cs="Times New Roman"/>
                <w:kern w:val="0"/>
                <w:sz w:val="28"/>
                <w:szCs w:val="32"/>
                <w:lang w:val="en-US"/>
              </w:rPr>
              <w:t>联系方式</w:t>
            </w:r>
          </w:p>
        </w:tc>
        <w:tc>
          <w:tcPr>
            <w:tcW w:w="2626" w:type="dxa"/>
            <w:vAlign w:val="center"/>
          </w:tcPr>
          <w:p>
            <w:pPr>
              <w:widowControl/>
              <w:adjustRightInd/>
              <w:snapToGrid/>
              <w:jc w:val="center"/>
              <w:textAlignment w:val="center"/>
              <w:rPr>
                <w:rFonts w:hint="default" w:ascii="Times New Roman" w:hAnsi="Times New Roman" w:eastAsia="方正仿宋简体" w:cs="Times New Roman"/>
                <w:color w:val="000000"/>
                <w:kern w:val="0"/>
                <w:sz w:val="24"/>
                <w:lang w:val="en-US"/>
              </w:rPr>
            </w:pPr>
            <w:r>
              <w:rPr>
                <w:rFonts w:hint="default" w:ascii="Times New Roman" w:hAnsi="Times New Roman" w:eastAsia="方正仿宋简体" w:cs="Times New Roman"/>
                <w:color w:val="000000"/>
                <w:kern w:val="0"/>
                <w:sz w:val="24"/>
                <w:lang w:val="en-US"/>
              </w:rPr>
              <w:t>13260232397</w:t>
            </w:r>
          </w:p>
        </w:tc>
      </w:tr>
    </w:tbl>
    <w:p>
      <w:pPr>
        <w:widowControl/>
        <w:adjustRightInd w:val="0"/>
        <w:snapToGrid w:val="0"/>
        <w:jc w:val="center"/>
        <w:rPr>
          <w:rFonts w:hint="default" w:ascii="Times New Roman" w:hAnsi="Times New Roman" w:eastAsia="方正楷体简体" w:cs="Times New Roman"/>
          <w:kern w:val="0"/>
          <w:sz w:val="24"/>
          <w:lang w:val="en-GB"/>
        </w:rPr>
      </w:pPr>
    </w:p>
    <w:p>
      <w:pPr>
        <w:widowControl/>
        <w:tabs>
          <w:tab w:val="left" w:pos="8640"/>
        </w:tabs>
        <w:adjustRightInd w:val="0"/>
        <w:snapToGrid w:val="0"/>
        <w:spacing w:line="560" w:lineRule="exact"/>
        <w:jc w:val="left"/>
        <w:rPr>
          <w:rFonts w:hint="default" w:ascii="Times New Roman" w:hAnsi="Times New Roman" w:eastAsia="黑体" w:cs="Times New Roman"/>
          <w:bCs/>
          <w:spacing w:val="6"/>
          <w:kern w:val="0"/>
          <w:sz w:val="32"/>
          <w:szCs w:val="32"/>
          <w:lang w:val="en-GB"/>
        </w:rPr>
      </w:pPr>
      <w:r>
        <w:rPr>
          <w:rFonts w:hint="default" w:ascii="Times New Roman" w:hAnsi="Times New Roman" w:eastAsia="黑体" w:cs="Times New Roman"/>
          <w:bCs/>
          <w:spacing w:val="6"/>
          <w:kern w:val="0"/>
          <w:sz w:val="32"/>
          <w:szCs w:val="32"/>
          <w:lang w:val="en-GB"/>
        </w:rPr>
        <w:t>二、选题说明</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90"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题目</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基于高通量测序和特征基因表达谱的重症传染病中药筛选与分析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行业领域</w:t>
            </w:r>
          </w:p>
        </w:tc>
        <w:tc>
          <w:tcPr>
            <w:tcW w:w="6669" w:type="dxa"/>
            <w:tcBorders>
              <w:tl2br w:val="nil"/>
              <w:tr2bl w:val="nil"/>
            </w:tcBorders>
            <w:shd w:val="clear" w:color="auto" w:fill="FFFFFF"/>
            <w:vAlign w:val="center"/>
          </w:tcPr>
          <w:p>
            <w:pPr>
              <w:widowControl/>
              <w:adjustRightInd w:val="0"/>
              <w:snapToGrid w:val="0"/>
              <w:spacing w:line="400" w:lineRule="exact"/>
              <w:jc w:val="center"/>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医药卫生（中西医结合诊疗与转化）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71"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2"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b/>
                <w:bCs/>
                <w:kern w:val="0"/>
                <w:sz w:val="24"/>
                <w:lang w:val="en-US"/>
              </w:rPr>
              <w:t>1．立项依据：</w:t>
            </w:r>
            <w:r>
              <w:rPr>
                <w:rFonts w:hint="default" w:ascii="Times New Roman" w:hAnsi="Times New Roman" w:eastAsia="仿宋" w:cs="Times New Roman"/>
                <w:kern w:val="0"/>
                <w:sz w:val="24"/>
                <w:lang w:val="en-US"/>
              </w:rPr>
              <w:t>随着“健康中国”战略的深入实施，中药研发成为关系国计民生的重要产业，中药药效物质不明确、机理不清晰是制约其发展的关键问题。传染病重症是我国重要的公共卫生问题，中医药在传染性重症疾病治疗中有独到的优势。传染性重症疾病的中药研发是目前亟待解决的关键问题。特征基因表达谱为解决上述问题提供了方案，我们可整合分析细胞基因组学数据，建立药物</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疾病</w:t>
            </w:r>
            <w:r>
              <w:rPr>
                <w:rFonts w:hint="eastAsia" w:eastAsia="仿宋" w:cs="Times New Roman"/>
                <w:kern w:val="0"/>
                <w:sz w:val="24"/>
                <w:lang w:val="en-US" w:eastAsia="zh-CN"/>
              </w:rPr>
              <w:t>－</w:t>
            </w:r>
            <w:r>
              <w:rPr>
                <w:rFonts w:hint="default" w:ascii="Times New Roman" w:hAnsi="Times New Roman" w:eastAsia="仿宋" w:cs="Times New Roman"/>
                <w:kern w:val="0"/>
                <w:sz w:val="24"/>
                <w:lang w:val="en-US"/>
              </w:rPr>
              <w:t>基因相关联的大数据模型，整理出差异表达基因谱。可通过匹配药物处理后的基因表达图谱与比对图谱的基因表达差异，对化合物活性进行打分，寻找与比对图谱正相关或负相关的化合物列表。上述高通量筛选过程可以用于筛选用于治疗重症传染病的有效中药成分、预测药物活性、发现新治疗靶点。</w:t>
            </w:r>
          </w:p>
          <w:p>
            <w:pPr>
              <w:widowControl/>
              <w:adjustRightInd w:val="0"/>
              <w:snapToGrid w:val="0"/>
              <w:spacing w:line="400" w:lineRule="exact"/>
              <w:ind w:firstLine="482" w:firstLineChars="200"/>
              <w:jc w:val="left"/>
              <w:rPr>
                <w:rFonts w:hint="default" w:ascii="Times New Roman" w:hAnsi="Times New Roman" w:eastAsia="方正仿宋简体" w:cs="Times New Roman"/>
                <w:kern w:val="0"/>
                <w:sz w:val="24"/>
                <w:lang w:val="en-US"/>
              </w:rPr>
            </w:pPr>
            <w:r>
              <w:rPr>
                <w:rFonts w:hint="default" w:ascii="Times New Roman" w:hAnsi="Times New Roman" w:eastAsia="仿宋" w:cs="Times New Roman"/>
                <w:b/>
                <w:bCs/>
                <w:kern w:val="0"/>
                <w:sz w:val="24"/>
                <w:lang w:val="en-US"/>
              </w:rPr>
              <w:t>2. 应用前景：</w:t>
            </w:r>
            <w:r>
              <w:rPr>
                <w:rFonts w:hint="default" w:ascii="Times New Roman" w:hAnsi="Times New Roman" w:eastAsia="仿宋" w:cs="Times New Roman"/>
                <w:kern w:val="0"/>
                <w:sz w:val="24"/>
                <w:lang w:val="en-US"/>
              </w:rPr>
              <w:t>使用高通量平台进行特征基因表达谱检测，结合网络药理学等技术进行信息挖掘，对治疗重症传染病的中药临床经验方进行全面系统分析，筛选出有效药物基础物质，阐明作用机制，推动中药研发与转化，传承中医药精华，守正创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95" w:hRule="atLeast"/>
          <w:jc w:val="center"/>
        </w:trPr>
        <w:tc>
          <w:tcPr>
            <w:tcW w:w="183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预期取得的</w:t>
            </w:r>
          </w:p>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中药新药研究是中医药发展的重要领域，基于高通量测序和特征基因表达谱的药物筛选与分析方法为促进中药精准化提供可行性方案，对于治疗传染性重症疾病的中医经典方和临床经验方研发具有重要价值，有效开发利用中医药，为人类健康贡献中国智慧和中医药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GB"/>
              </w:rPr>
            </w:pPr>
            <w:r>
              <w:rPr>
                <w:rFonts w:hint="default" w:ascii="Times New Roman" w:hAnsi="Times New Roman" w:eastAsia="楷体" w:cs="Times New Roman"/>
                <w:kern w:val="0"/>
                <w:sz w:val="28"/>
                <w:szCs w:val="32"/>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参赛团队应具有严格规范的科研设计，提供真实可靠的科研数据，基于特征基因表达谱筛选出中药有效物质基础，并阐述作用机制，提交完整的研究报告。</w:t>
            </w:r>
          </w:p>
        </w:tc>
      </w:tr>
    </w:tbl>
    <w:p>
      <w:pPr>
        <w:widowControl/>
        <w:adjustRightInd w:val="0"/>
        <w:snapToGrid w:val="0"/>
        <w:jc w:val="both"/>
        <w:rPr>
          <w:rFonts w:hint="default" w:ascii="Times New Roman" w:hAnsi="Times New Roman" w:eastAsia="方正黑体简体" w:cs="Times New Roman"/>
          <w:kern w:val="0"/>
          <w:sz w:val="32"/>
          <w:szCs w:val="32"/>
          <w:lang w:val="en-GB"/>
        </w:rPr>
      </w:pPr>
    </w:p>
    <w:p>
      <w:pPr>
        <w:widowControl/>
        <w:adjustRightInd w:val="0"/>
        <w:snapToGrid w:val="0"/>
        <w:jc w:val="both"/>
        <w:rPr>
          <w:rFonts w:hint="default" w:ascii="Times New Roman" w:hAnsi="Times New Roman" w:eastAsia="黑体" w:cs="Times New Roman"/>
          <w:kern w:val="0"/>
          <w:sz w:val="32"/>
          <w:szCs w:val="32"/>
          <w:lang w:val="en-GB"/>
        </w:rPr>
      </w:pPr>
      <w:r>
        <w:rPr>
          <w:rFonts w:hint="default" w:ascii="Times New Roman" w:hAnsi="Times New Roman" w:eastAsia="黑体" w:cs="Times New Roman"/>
          <w:kern w:val="0"/>
          <w:sz w:val="32"/>
          <w:szCs w:val="32"/>
          <w:lang w:val="en-GB"/>
        </w:rPr>
        <w:t>三、激励保障</w:t>
      </w: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979"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方正仿宋简体" w:cs="Times New Roman"/>
                <w:kern w:val="0"/>
                <w:sz w:val="24"/>
                <w:lang w:val="en-GB"/>
              </w:rPr>
            </w:pPr>
            <w:r>
              <w:rPr>
                <w:rFonts w:hint="default" w:ascii="Times New Roman" w:hAnsi="Times New Roman" w:eastAsia="仿宋" w:cs="Times New Roman"/>
                <w:kern w:val="0"/>
                <w:sz w:val="24"/>
                <w:lang w:val="en-US"/>
              </w:rPr>
              <w:t>可为参赛团队提供指导帮助，比如学术咨询，实践调研，提供可供参考的以往相关研究资料等。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1699" w:hRule="atLeast"/>
          <w:jc w:val="center"/>
        </w:trPr>
        <w:tc>
          <w:tcPr>
            <w:tcW w:w="1815" w:type="dxa"/>
            <w:tcBorders>
              <w:tl2br w:val="nil"/>
              <w:tr2bl w:val="nil"/>
            </w:tcBorders>
            <w:shd w:val="clear" w:color="auto" w:fill="FFFFFF"/>
            <w:vAlign w:val="center"/>
          </w:tcPr>
          <w:p>
            <w:pPr>
              <w:widowControl/>
              <w:adjustRightInd w:val="0"/>
              <w:snapToGrid/>
              <w:spacing w:line="560" w:lineRule="exact"/>
              <w:jc w:val="center"/>
              <w:rPr>
                <w:rFonts w:hint="default" w:ascii="Times New Roman" w:hAnsi="Times New Roman" w:eastAsia="楷体" w:cs="Times New Roman"/>
                <w:kern w:val="0"/>
                <w:sz w:val="28"/>
                <w:szCs w:val="32"/>
                <w:lang w:val="en-US"/>
              </w:rPr>
            </w:pPr>
            <w:r>
              <w:rPr>
                <w:rFonts w:hint="default" w:ascii="Times New Roman" w:hAnsi="Times New Roman" w:eastAsia="楷体" w:cs="Times New Roman"/>
                <w:kern w:val="0"/>
                <w:sz w:val="28"/>
                <w:szCs w:val="32"/>
                <w:lang w:val="en-US"/>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jc w:val="left"/>
              <w:rPr>
                <w:rFonts w:hint="default" w:ascii="Times New Roman" w:hAnsi="Times New Roman" w:eastAsia="仿宋" w:cs="Times New Roman"/>
                <w:kern w:val="0"/>
                <w:sz w:val="24"/>
                <w:lang w:val="en-US"/>
              </w:rPr>
            </w:pPr>
            <w:r>
              <w:rPr>
                <w:rFonts w:hint="default" w:ascii="Times New Roman" w:hAnsi="Times New Roman" w:eastAsia="仿宋" w:cs="Times New Roman"/>
                <w:kern w:val="0"/>
                <w:sz w:val="24"/>
                <w:lang w:val="en-US"/>
              </w:rPr>
              <w:t>择优为获奖团队提供经费资助，安排实习实践和就业岗位。</w:t>
            </w:r>
          </w:p>
        </w:tc>
      </w:tr>
    </w:tbl>
    <w:p>
      <w:pPr>
        <w:widowControl/>
        <w:jc w:val="left"/>
        <w:rPr>
          <w:rFonts w:hint="default" w:ascii="Times New Roman" w:hAnsi="Times New Roman" w:eastAsia="仿宋_GB2312" w:cs="Times New Roman"/>
          <w:b w:val="0"/>
          <w:bCs w:val="0"/>
          <w:sz w:val="32"/>
          <w:szCs w:val="30"/>
          <w:lang w:val="en-US" w:eastAsia="zh-CN"/>
        </w:rPr>
      </w:pPr>
    </w:p>
    <w:p>
      <w:pPr>
        <w:rPr>
          <w:rFonts w:ascii="Times New Roman" w:hAnsi="Times New Roman"/>
          <w:highlight w:val="none"/>
        </w:rPr>
      </w:pPr>
    </w:p>
    <w:sectPr>
      <w:foot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Times New Roman Bold">
    <w:panose1 w:val="02020603050405020304"/>
    <w:charset w:val="00"/>
    <w:family w:val="auto"/>
    <w:pitch w:val="default"/>
    <w:sig w:usb0="E0002AEF" w:usb1="C0007841" w:usb2="00000009" w:usb3="00000000" w:csb0="400001FF" w:csb1="FFFF0000"/>
  </w:font>
  <w:font w:name="方正黑体简体">
    <w:altName w:val="汉仪中黑KW"/>
    <w:panose1 w:val="02000000000000000000"/>
    <w:charset w:val="86"/>
    <w:family w:val="auto"/>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3000509000000000000"/>
    <w:charset w:val="86"/>
    <w:family w:val="auto"/>
    <w:pitch w:val="default"/>
    <w:sig w:usb0="00000001" w:usb1="080E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Aa纸胶带">
    <w:panose1 w:val="00020600040101010101"/>
    <w:charset w:val="86"/>
    <w:family w:val="auto"/>
    <w:pitch w:val="default"/>
    <w:sig w:usb0="A00002BF" w:usb1="18EF7CFA" w:usb2="00000016" w:usb3="00000000" w:csb0="00040083" w:csb1="C41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val="0"/>
      <w:snapToGrid w:val="0"/>
      <w:spacing w:line="171" w:lineRule="auto"/>
      <w:ind w:left="4735"/>
      <w:jc w:val="center"/>
      <w:rPr>
        <w:rFonts w:ascii="宋体" w:hAnsi="宋体" w:eastAsia="宋体" w:cs="宋体"/>
        <w:kern w:val="0"/>
        <w:sz w:val="15"/>
        <w:szCs w:val="15"/>
        <w:lang w:val="en-GB"/>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FLilsvdAgAAJAYAAA4AAAAAAAAAAQAgAAAA&#10;NQEAAGRycy9lMm9Eb2MueG1sUEsFBgAAAAAGAAYAWQEAAIQ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val="0"/>
      <w:snapToGrid w:val="0"/>
      <w:spacing w:line="171" w:lineRule="auto"/>
      <w:ind w:left="4735"/>
      <w:jc w:val="center"/>
      <w:rPr>
        <w:rFonts w:ascii="宋体" w:hAnsi="宋体" w:eastAsia="宋体" w:cs="宋体"/>
        <w:kern w:val="0"/>
        <w:sz w:val="15"/>
        <w:szCs w:val="15"/>
        <w:lang w:val="en-GB"/>
      </w:rPr>
    </w:pPr>
    <w:bookmarkStart w:id="1" w:name="_GoBack"/>
    <w:bookmarkEnd w:id="1"/>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DAyd1LdAgAAJAYAAA4AAAAAAAAAAQAgAAAA&#10;NQEAAGRycy9lMm9Eb2MueG1sUEsFBgAAAAAGAAYAWQEAAIQG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val="0"/>
      <w:snapToGrid w:val="0"/>
      <w:spacing w:line="170" w:lineRule="auto"/>
      <w:ind w:left="4634"/>
      <w:jc w:val="center"/>
      <w:rPr>
        <w:rFonts w:ascii="宋体" w:hAnsi="宋体" w:eastAsia="宋体" w:cs="宋体"/>
        <w:kern w:val="0"/>
        <w:sz w:val="15"/>
        <w:szCs w:val="15"/>
        <w:lang w:val="en-GB"/>
      </w:rPr>
    </w:pPr>
    <w:r>
      <w:rPr>
        <w:sz w:val="1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D0YRyTdAgAAJAYAAA4AAAAAAAAAAQAgAAAA&#10;NQEAAGRycy9lMm9Eb2MueG1sUEsFBgAAAAAGAAYAWQEAAIQ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- 8 -</w:t>
                    </w:r>
                    <w:r>
                      <w:fldChar w:fldCharType="end"/>
                    </w:r>
                  </w:p>
                </w:txbxContent>
              </v:textbox>
            </v:shape>
          </w:pict>
        </mc:Fallback>
      </mc:AlternateContent>
    </w:r>
    <w:r>
      <w:rPr>
        <w:rFonts w:ascii="宋体" w:hAnsi="宋体" w:eastAsia="宋体" w:cs="宋体"/>
        <w:kern w:val="0"/>
        <w:sz w:val="15"/>
        <w:szCs w:val="15"/>
        <w:lang w:val="en-GB"/>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KmYXvtwCAAAkBgAADgAAAAAAAAABACAAAAA1&#10;AQAAZHJzL2Uyb0RvYy54bWxQSwUGAAAAAAYABgBZAQAAgw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D1FB2"/>
    <w:multiLevelType w:val="singleLevel"/>
    <w:tmpl w:val="EFED1FB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85C433A"/>
    <w:rsid w:val="0FBFC550"/>
    <w:rsid w:val="1BCF4696"/>
    <w:rsid w:val="2FB4436F"/>
    <w:rsid w:val="32EB3535"/>
    <w:rsid w:val="33BF066A"/>
    <w:rsid w:val="4EC24FFD"/>
    <w:rsid w:val="4FFF2F7F"/>
    <w:rsid w:val="5C7FCC05"/>
    <w:rsid w:val="5FF5EB61"/>
    <w:rsid w:val="65F3092B"/>
    <w:rsid w:val="66C6724E"/>
    <w:rsid w:val="6FBB0A22"/>
    <w:rsid w:val="75E50A57"/>
    <w:rsid w:val="7EEFB24F"/>
    <w:rsid w:val="7FEDE57C"/>
    <w:rsid w:val="93F70857"/>
    <w:rsid w:val="BFE90341"/>
    <w:rsid w:val="D5975309"/>
    <w:rsid w:val="E65BAA87"/>
    <w:rsid w:val="EDFBCB7A"/>
    <w:rsid w:val="FC7F2332"/>
    <w:rsid w:val="FDFB5126"/>
    <w:rsid w:val="FF75C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eastAsia="方正小标宋简体" w:asciiTheme="minorAscii" w:hAnsiTheme="minorAscii"/>
      <w:kern w:val="44"/>
      <w:sz w:val="36"/>
      <w14:ligatures w14:val="standardContextual"/>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99"/>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rPr>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2024-04-06T23:18:00Z</dcterms:created>
  <dc:creator>吕佳</dc:creator>
  <cp:lastModifiedBy>lxz</cp:lastModifiedBy>
  <dcterms:modified xsi:type="dcterms:W3CDTF">2024-04-04T13:34:23Z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0A36E0755E1ECC44806C0D66B52628EE_43</vt:lpwstr>
  </property>
</Properties>
</file>