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附件1：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征集活动注意事项</w:t>
      </w:r>
    </w:p>
    <w:bookmarkEnd w:id="0"/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推荐品牌项目所在团组织应满足以下标准：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（一）引领力强。干部队伍自身建设强，工作手段、载体、方式丰富，有效影响和凝聚区域内全体青年，得到党政支持、青年满意、社会好评。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（二）组织力强。团组织覆盖面广，枢纽作用发挥充分，有效联系、影响辖区内各类青年社团、青年自组织。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（三）服务力强。充分发挥统筹、协调联络的功能，有效整合团内外阵地和资源，为区域内青少年的学习、生活、工作提供实实在在的便利，切实服务广大青少年的成才发展。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（四）贡献度大。紧密围绕党政中心工作，主动承接相关任务，积极引导和带领广大青少年参与区域建设，服务保障重大活动和地区社会和谐稳定。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有下列情形之一的,不得推荐参评: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（一）近2年内团组织或负责人被党组织、上级团组织给予组织处理或者纪律处分的;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（二）近2年内有违背社会主义道德或者公序良俗行为造成不良社会影响的;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（三）近2年内单位或者个人有违法违纪行为受到处罚并在影响期之内,或者正在被执法执纪部门调查处理的;</w:t>
      </w:r>
    </w:p>
    <w:p>
      <w:pPr>
        <w:spacing w:line="560" w:lineRule="exact"/>
        <w:ind w:firstLine="600" w:firstLineChars="200"/>
      </w:pPr>
      <w:r>
        <w:rPr>
          <w:rFonts w:hint="eastAsia" w:ascii="仿宋_GB2312" w:eastAsia="仿宋_GB2312"/>
          <w:sz w:val="30"/>
          <w:szCs w:val="30"/>
        </w:rPr>
        <w:t>（四）基础工作薄弱,团组织长期不换届、不配齐团干部、不开展推优入党,落实共青团改革、“全团带队”责任和全团重点工作不力的。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-43891585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7 -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EE402E"/>
    <w:rsid w:val="BFEE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  <w:pPr>
      <w:spacing w:line="400" w:lineRule="exact"/>
    </w:pPr>
    <w:rPr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2023-03-28T11:46:00Z</dcterms:created>
  <dc:creator> 李心宇</dc:creator>
  <cp:lastModifiedBy> 李心宇</cp:lastModifiedBy>
  <dcterms:modified xsi:type="dcterms:W3CDTF">2023-03-28T11:48:55Z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B69E5167031C6B4429632264EC7396EF</vt:lpwstr>
  </property>
</Properties>
</file>