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2"/>
          <w:szCs w:val="36"/>
        </w:rPr>
      </w:pPr>
      <w:r>
        <w:rPr>
          <w:rFonts w:hint="eastAsia" w:ascii="仿宋" w:hAnsi="仿宋" w:eastAsia="仿宋" w:cs="仿宋"/>
          <w:sz w:val="22"/>
          <w:szCs w:val="36"/>
        </w:rPr>
        <w:t>附件1：</w:t>
      </w:r>
    </w:p>
    <w:p>
      <w:pPr>
        <w:jc w:val="center"/>
        <w:rPr>
          <w:rFonts w:ascii="方正小标宋简体" w:hAnsi="华文中宋" w:eastAsia="方正小标宋简体"/>
          <w:sz w:val="28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28"/>
          <w:szCs w:val="28"/>
        </w:rPr>
        <w:t>北京师范大学第三十二届学生委员会拟增补委员数量分配表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37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b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0"/>
                <w:shd w:val="clear" w:color="auto" w:fill="FFFFFF"/>
              </w:rPr>
              <w:t>序号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0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0"/>
                <w:shd w:val="clear" w:color="auto" w:fill="FFFFFF"/>
              </w:rPr>
              <w:t>单位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0"/>
                <w:shd w:val="clear" w:color="auto" w:fill="FFFFFF"/>
              </w:rPr>
              <w:t>委员候选人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政府管理学院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2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社会学院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3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心理学部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4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化学学院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5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统计学院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6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物理学系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7</w:t>
            </w:r>
          </w:p>
        </w:tc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before="156" w:beforeLines="50" w:line="240" w:lineRule="exact"/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天文系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shd w:val="clear" w:color="auto" w:fill="FFFFFF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EzYmNkZGUwMDQxYzkxYWI4YmY5NDNhNDRjZWIifQ=="/>
  </w:docVars>
  <w:rsids>
    <w:rsidRoot w:val="0C673F3A"/>
    <w:rsid w:val="0C6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2023-04-11T14:04:00Z</dcterms:created>
  <dc:creator>cchain</dc:creator>
  <cp:lastModifiedBy>cchain</cp:lastModifiedBy>
  <dcterms:modified xsi:type="dcterms:W3CDTF">2023-04-11T14:04:39Z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770A085F52E84F42A49F030C34750F45</vt:lpwstr>
  </property>
</Properties>
</file>