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</w:rPr>
        <w:t>北京师范大学202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  <w:lang w:val="en-US" w:eastAsia="zh-Hans"/>
        </w:rPr>
        <w:t>学年院系级团委</w:t>
      </w:r>
    </w:p>
    <w:p>
      <w:pPr>
        <w:widowControl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  <w:lang w:val="en-US" w:eastAsia="zh-Hans"/>
        </w:rPr>
        <w:t>“特色工作奖”申请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2"/>
        <w:tblW w:w="10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46"/>
        <w:gridCol w:w="1431"/>
        <w:gridCol w:w="766"/>
        <w:gridCol w:w="1741"/>
        <w:gridCol w:w="962"/>
        <w:gridCol w:w="255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Hans"/>
              </w:rPr>
              <w:t>院系级团委</w:t>
            </w:r>
            <w:r>
              <w:rPr>
                <w:sz w:val="24"/>
                <w:highlight w:val="none"/>
              </w:rPr>
              <w:t>名称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Hans"/>
              </w:rPr>
            </w:pPr>
            <w:r>
              <w:rPr>
                <w:rFonts w:hint="eastAsia"/>
                <w:sz w:val="24"/>
                <w:highlight w:val="none"/>
                <w:lang w:val="en-US" w:eastAsia="zh-Hans"/>
              </w:rPr>
              <w:t>团委</w:t>
            </w:r>
            <w:r>
              <w:rPr>
                <w:rFonts w:hint="default"/>
                <w:sz w:val="24"/>
                <w:highlight w:val="none"/>
                <w:lang w:eastAsia="zh-Hans"/>
              </w:rPr>
              <w:t>（</w:t>
            </w:r>
            <w:r>
              <w:rPr>
                <w:rFonts w:hint="eastAsia"/>
                <w:sz w:val="24"/>
                <w:highlight w:val="none"/>
                <w:lang w:val="en-US" w:eastAsia="zh-Hans"/>
              </w:rPr>
              <w:t>团总支</w:t>
            </w:r>
            <w:r>
              <w:rPr>
                <w:rFonts w:hint="default"/>
                <w:sz w:val="24"/>
                <w:highlight w:val="none"/>
                <w:lang w:eastAsia="zh-Hans"/>
              </w:rPr>
              <w:t>）</w:t>
            </w:r>
            <w:r>
              <w:rPr>
                <w:rFonts w:hint="eastAsia"/>
                <w:sz w:val="24"/>
                <w:highlight w:val="none"/>
                <w:lang w:val="en-US" w:eastAsia="zh-Hans"/>
              </w:rPr>
              <w:t>书记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Hans"/>
              </w:rPr>
            </w:pPr>
            <w:r>
              <w:rPr>
                <w:rFonts w:hint="eastAsia"/>
                <w:sz w:val="24"/>
                <w:highlight w:val="none"/>
                <w:lang w:val="en-US" w:eastAsia="zh-Hans"/>
              </w:rPr>
              <w:t>团员人数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sz w:val="24"/>
                <w:highlight w:val="none"/>
                <w:lang w:val="en-US" w:eastAsia="zh-Hans"/>
              </w:rPr>
              <w:t>团支部</w:t>
            </w:r>
          </w:p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Hans"/>
              </w:rPr>
            </w:pPr>
            <w:r>
              <w:rPr>
                <w:rFonts w:hint="eastAsia"/>
                <w:sz w:val="24"/>
                <w:highlight w:val="none"/>
                <w:lang w:val="en-US" w:eastAsia="zh-Hans"/>
              </w:rPr>
              <w:t>数量</w:t>
            </w:r>
          </w:p>
        </w:tc>
        <w:tc>
          <w:tcPr>
            <w:tcW w:w="2555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0" w:hRule="atLeast"/>
          <w:jc w:val="center"/>
        </w:trPr>
        <w:tc>
          <w:tcPr>
            <w:tcW w:w="265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highlight w:val="none"/>
                <w:lang w:eastAsia="zh-Hans"/>
              </w:rPr>
            </w:pPr>
            <w:r>
              <w:rPr>
                <w:rFonts w:hint="eastAsia"/>
                <w:sz w:val="24"/>
                <w:highlight w:val="none"/>
                <w:lang w:val="en-US" w:eastAsia="zh-Hans"/>
              </w:rPr>
              <w:t>特色工作名称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特色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工作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背景</w:t>
            </w:r>
          </w:p>
        </w:tc>
        <w:tc>
          <w:tcPr>
            <w:tcW w:w="9008" w:type="dxa"/>
            <w:gridSpan w:val="7"/>
          </w:tcPr>
          <w:p>
            <w:pP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  <w:t>（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Hans"/>
              </w:rPr>
              <w:t>请就特色工作开展的背景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Hans"/>
              </w:rPr>
              <w:t>思路、举措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Hans"/>
              </w:rPr>
              <w:t>成效进行陈述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  <w:t>，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Hans"/>
              </w:rPr>
              <w:t>总字数控制在</w:t>
            </w:r>
            <w:r>
              <w:rPr>
                <w:rFonts w:hint="default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  <w:t>2000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Hans"/>
              </w:rPr>
              <w:t>字以内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  <w:t>，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CN"/>
              </w:rPr>
              <w:t>以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Hans"/>
              </w:rPr>
              <w:t>下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CN"/>
              </w:rPr>
              <w:t>以“青春讲师团”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Hans"/>
              </w:rPr>
              <w:t>为参考案例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自2019年起，学校把握新中国成立70周年、建党百年、北京冬奥会等重要契机，先后成立“服务保障国庆活动”“请党放心，强国有我”“我和我的冬奥故事”等专题宣讲团。2022年5月5日，正值建团百年之际，为进一步整合学校优质青年宣讲资源，用青年故事、青年思考和青年话语宣传阐述习近平新时代中国特色社会主义思想，激励广大青年更加深刻、自觉地用习近平新时代中国特色社会主义思想武装头脑、指导实践，在学校党委的关心指导下，全校共青团组织联合发起成立的“北京师范大学青春讲师团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特色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工作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思路</w:t>
            </w:r>
          </w:p>
        </w:tc>
        <w:tc>
          <w:tcPr>
            <w:tcW w:w="900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围绕办学定位，探索构建讲师培育新平台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eastAsia="zh-Hans"/>
              </w:rPr>
              <w:t>。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建立“校内+校外”专家联动育人体系，聘请校内外理论专家、知名学者、资深演讲家等组成专家顾问团队，发挥讲师团建设智库作用，深度参与讲师培养方案制定和培训课程研制，为青春讲师的理论素养、宣讲技能、专题宣讲知识等方面提供专业指导。开展常态化理论学习，修炼内功，强基固本。设计宣讲反馈问卷，根据受众反馈及时查找不足，激发理论学习的内生动力，实现“学”与“讲”的双向互动和闭环反馈，努力形成“学以致讲-以讲促学-讲学相长”三效合一浸润教育。注重在实践中感悟伟大成就、汲取精神伟力，选拔优秀讲师赴延安、阜平、沧州等地开展研学活动，推动构建“价值塑造-能力培养-知识传授-实践训练”四位一体的讲师培养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发挥朋辈力量，建强思政工作后备军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CN"/>
              </w:rPr>
              <w:t>。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坚持胸怀大局、着眼大事，把握建党百年、建团百年、建校120周年等重要契机，成立专题宣讲突击队，原创打造“请党放心，强国有我”“我和我的冬奥故事”“中国梦·强师行”“增强团员意识，争做‘四有’标识鲜明的一流学生”等专题宣讲，积极回应时代之问和青年之需，发挥朋辈教育功能，实现育人与育己有机结合。以赛促讲，组织举办“这十年·青年讲”“京师风范、强国有我”校内宣讲比赛，致广大而尽精微，用青年话语解读党的创新理论、领学习近平总书记的谆谆教诲，发挥团员模范作用，激励北师大青年和附校学子，赓续红色血脉，强壮精神素养，以“自找苦吃”的精气神刻苦学习、砥砺奋进。努力打通基层理论宣讲“最后一公里”，创新采用“点单派单”+“挂职副站长”模式，精准高效对接北京西城区、石景山区等多个街道，传递思想引领炬火，推动党的创新理论“飞入寻常百姓家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拓宽育人路径，助力“大中小学思政课一体化”建设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CN"/>
              </w:rPr>
              <w:t>。</w:t>
            </w:r>
            <w:r>
              <w:rPr>
                <w:rFonts w:hint="eastAsia" w:ascii="Songti SC Regular" w:hAnsi="Songti SC Regular" w:eastAsia="Songti SC Regular" w:cs="Songti SC Regular"/>
                <w:b w:val="0"/>
                <w:bCs w:val="0"/>
                <w:highlight w:val="none"/>
                <w:lang w:val="en-US" w:eastAsia="zh-CN"/>
              </w:rPr>
              <w:t>整合育人资源，拓宽育人路径，结合中小学生思想动态和认知水平，精心遴选主题，安排讲师分批前往北师大各附属学校、北师大研支团支教帮扶地、北京市京源学校等开展志愿宣讲，根据中小学生特点和规律因材施教，打造更有亲和力、更具针对性的青春宣讲，深受中小学生欢迎。注重“授人以渔”，推广办团经验，组建“京起浙江潮”实践队指导北京师范大学台州实验学校成立了该校的中学生宣讲团，紧扣思政教材、结合学生经历，打磨出8个精品课程并赴周边社区进行宣讲，探索可复制、可移植的中小学宣讲团筹建方案，构建育人共同体，助力“大中小学思政课一体化”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特色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工作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举措</w:t>
            </w:r>
          </w:p>
          <w:p>
            <w:pPr>
              <w:jc w:val="center"/>
              <w:rPr>
                <w:rFonts w:hint="default"/>
                <w:bCs/>
                <w:sz w:val="24"/>
                <w:highlight w:val="none"/>
                <w:lang w:eastAsia="zh-Hans"/>
              </w:rPr>
            </w:pP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（</w:t>
            </w: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队伍</w:t>
            </w: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、</w:t>
            </w:r>
          </w:p>
          <w:p>
            <w:pPr>
              <w:jc w:val="center"/>
              <w:rPr>
                <w:rFonts w:hint="default"/>
                <w:bCs/>
                <w:sz w:val="24"/>
                <w:highlight w:val="none"/>
                <w:lang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平台</w:t>
            </w: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、</w:t>
            </w:r>
          </w:p>
          <w:p>
            <w:pPr>
              <w:jc w:val="center"/>
              <w:rPr>
                <w:rFonts w:hint="eastAsia" w:eastAsiaTheme="minor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机制等</w:t>
            </w:r>
            <w:r>
              <w:rPr>
                <w:rFonts w:hint="default"/>
                <w:bCs/>
                <w:sz w:val="24"/>
                <w:highlight w:val="none"/>
                <w:lang w:eastAsia="zh-Hans"/>
              </w:rPr>
              <w:t>）</w:t>
            </w:r>
          </w:p>
        </w:tc>
        <w:tc>
          <w:tcPr>
            <w:tcW w:w="900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</w:rPr>
            </w:pPr>
            <w:r>
              <w:rPr>
                <w:rFonts w:hint="default" w:ascii="Songti SC Regular" w:hAnsi="Songti SC Regular" w:eastAsia="Songti SC Regular" w:cs="Songti SC Regular"/>
                <w:b/>
                <w:bCs/>
                <w:highlight w:val="none"/>
                <w:lang w:eastAsia="zh-Hans"/>
              </w:rPr>
              <w:t>1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.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eastAsia="zh-Hans"/>
              </w:rPr>
              <w:t xml:space="preserve"> 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组织架构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青春讲师团设有团长团负责日常工作，各团长分管办公室、宣传部、课程部和培训部等总团职能部门，联系院系分团。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</w:rPr>
            </w:pPr>
            <w:r>
              <w:rPr>
                <w:rFonts w:hint="default" w:ascii="Songti SC Regular" w:hAnsi="Songti SC Regular" w:eastAsia="Songti SC Regular" w:cs="Songti SC Regular"/>
                <w:b/>
                <w:bCs/>
                <w:highlight w:val="none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.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eastAsia="zh-Hans"/>
              </w:rPr>
              <w:t xml:space="preserve"> 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专家及平台支持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（1）青春讲师团聘请校内外理论专家、知名学者、资深演讲家等担任专家顾问团队，对全体讲师（及申请人）的政治理论、宣讲技能、内容打磨等方面进行指导。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（2）青春讲师团邀请专业团队对成熟的精品课程录制成视频课，依托“青春北师”等校级官方线上平台予以宣传推广，切实维护青春讲师团和全体青春讲师的智慧版权。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.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eastAsia="zh-Hans"/>
              </w:rPr>
              <w:t xml:space="preserve"> 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培训提升机制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理论素养方面，组织理论学习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，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邀请专家学者对理论难点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时政热点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党史团史校史等内容进行解读授课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；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讲师团成员以小组为单位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，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开展理论书籍阅读研讨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，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扎实理论基础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宣讲技能方面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，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邀请经验丰富的专家和宣讲员在语言和肢体表达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PPT制作等方面进行讲座分享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；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开展实践试讲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，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通过小组和团内试讲点评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、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集体磨课等环节提升宣讲效果</w:t>
            </w:r>
            <w:r>
              <w:rPr>
                <w:rFonts w:hint="default" w:ascii="Songti SC Regular" w:hAnsi="Songti SC Regular" w:eastAsia="Songti SC Regular" w:cs="Songti SC Regular"/>
                <w:highlight w:val="no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2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</w:rPr>
            </w:pPr>
            <w:r>
              <w:rPr>
                <w:rFonts w:hint="default" w:ascii="Songti SC Regular" w:hAnsi="Songti SC Regular" w:eastAsia="Songti SC Regular" w:cs="Songti SC Regular"/>
                <w:b/>
                <w:bCs/>
                <w:highlight w:val="none"/>
              </w:rPr>
              <w:t>4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.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eastAsia="zh-Hans"/>
              </w:rPr>
              <w:t xml:space="preserve"> 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</w:rPr>
              <w:t>保障激励</w:t>
            </w:r>
            <w:r>
              <w:rPr>
                <w:rFonts w:hint="eastAsia" w:ascii="Songti SC Regular" w:hAnsi="Songti SC Regular" w:eastAsia="Songti SC Regular" w:cs="Songti SC Regular"/>
                <w:b/>
                <w:bCs/>
                <w:highlight w:val="none"/>
                <w:lang w:val="en-US" w:eastAsia="zh-Hans"/>
              </w:rPr>
              <w:t>举措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（1）青春讲师团采用“申请报名-系统培训-学期考核”的三阶段选拔方式，对通过考核的申请人授予青春讲师身份，并颁发专属聘书。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eastAsia="zh-CN"/>
              </w:rPr>
              <w:t>（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2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eastAsia="zh-CN"/>
              </w:rPr>
              <w:t>）青春讲师团所有讲师聘期1年，根据工作表现参与“金牌讲师”及“优秀个人”评选，特别优秀者将推荐参评其他校级及以上荣誉，以及推荐至上级部门组织的青年宣讲类比赛。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eastAsia="zh-CN"/>
              </w:rPr>
              <w:t>（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3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eastAsia="zh-CN"/>
              </w:rPr>
              <w:t>）青春讲师团所有讲师任职满一年，均可申请留任部门负责人，在总团职能部门承担事务性工作并制作个人原创性课程的优先考虑。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（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4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）青春讲师团所有讲师，一律不得通过参加青春讲师团宣讲进行取酬；原则上按照实际有效参与情况，在“志愿北京”平台进行志愿服务时长认定和录入。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（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CN"/>
              </w:rPr>
              <w:t>5</w:t>
            </w:r>
            <w:r>
              <w:rPr>
                <w:rFonts w:hint="eastAsia" w:ascii="Songti SC Regular" w:hAnsi="Songti SC Regular" w:eastAsia="Songti SC Regular" w:cs="Songti SC Regular"/>
                <w:highlight w:val="none"/>
              </w:rPr>
              <w:t>）青春讲师团成员在申请参加校团委组织的各类政务实习、社会实践、志愿服务、重大活动服务保障等工作中，同等条件下可适当优先。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特色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工作</w:t>
            </w:r>
          </w:p>
          <w:p>
            <w:pPr>
              <w:jc w:val="center"/>
              <w:rPr>
                <w:rFonts w:hint="eastAsia"/>
                <w:bCs/>
                <w:sz w:val="24"/>
                <w:highlight w:val="none"/>
                <w:lang w:val="en-US" w:eastAsia="zh-Hans"/>
              </w:rPr>
            </w:pPr>
            <w:r>
              <w:rPr>
                <w:rFonts w:hint="eastAsia"/>
                <w:bCs/>
                <w:sz w:val="24"/>
                <w:highlight w:val="none"/>
                <w:lang w:val="en-US" w:eastAsia="zh-Hans"/>
              </w:rPr>
              <w:t>成效</w:t>
            </w:r>
          </w:p>
        </w:tc>
        <w:tc>
          <w:tcPr>
            <w:tcW w:w="900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截至2023年9月，北京师范大学“青春讲师团”已累计开展宣讲500余场，覆盖40万余人次，受众涵盖全国的大中小学、企事业单位、基层社区等全年龄段人群；相关推文及线上宣讲课程，累计阅读量达15万。北师大青春讲师团的相关工作得到《光明日报》、中国教育电视台、教育部“微言教育”等多家主流媒体的宣传报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420" w:firstLineChars="200"/>
              <w:jc w:val="both"/>
              <w:textAlignment w:val="auto"/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highlight w:val="none"/>
                <w:lang w:val="en-US" w:eastAsia="zh-Hans"/>
              </w:rPr>
              <w:t>青春讲师团获评北京市2023年度第一批团建百强项目；北师大“我和我的冬奥故事”青春宣讲团被命名为“北京市青年突击队”；选送作品《海选》荣获“这十年·青年讲”全国高校宣讲联赛一等奖。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 w:ascii="Songti SC Regular" w:hAnsi="Songti SC Regular" w:eastAsia="Songti SC Regular" w:cs="Songti SC Regular"/>
          <w:b w:val="0"/>
          <w:bCs w:val="0"/>
          <w:highlight w:val="none"/>
          <w:lang w:val="en-US" w:eastAsia="zh-Hans"/>
        </w:rPr>
        <w:t>附</w:t>
      </w:r>
      <w:r>
        <w:rPr>
          <w:rFonts w:hint="eastAsia" w:ascii="Songti SC Regular" w:hAnsi="Songti SC Regular" w:eastAsia="Songti SC Regular" w:cs="Songti SC Regular"/>
          <w:b w:val="0"/>
          <w:bCs w:val="0"/>
          <w:highlight w:val="none"/>
          <w:lang w:eastAsia="zh-Hans"/>
        </w:rPr>
        <w:t>：</w:t>
      </w:r>
      <w:r>
        <w:rPr>
          <w:rFonts w:hint="eastAsia" w:ascii="Songti SC Regular" w:hAnsi="Songti SC Regular" w:eastAsia="Songti SC Regular" w:cs="Songti SC Regular"/>
          <w:b w:val="0"/>
          <w:bCs w:val="0"/>
          <w:highlight w:val="none"/>
          <w:lang w:val="en-US" w:eastAsia="zh-Hans"/>
        </w:rPr>
        <w:t>各类活动图片及证明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A3F80"/>
    <w:multiLevelType w:val="singleLevel"/>
    <w:tmpl w:val="636A3F8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FDFCC26D"/>
    <w:rsid w:val="2C511061"/>
    <w:rsid w:val="45C614ED"/>
    <w:rsid w:val="52D30271"/>
    <w:rsid w:val="FDFCC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2022-11-08T13:37:00Z</dcterms:created>
  <dc:creator>xinyuli</dc:creator>
  <cp:lastModifiedBy>dd</cp:lastModifiedBy>
  <dcterms:modified xsi:type="dcterms:W3CDTF">2023-11-06T02:12:19Z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D00232F064BA40DFBACB0840515A404B_13</vt:lpwstr>
  </property>
</Properties>
</file>