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eastAsia="SimHei" w:cs="SimHei"/>
          <w:bCs/>
          <w:color w:val="000000" w:themeColor="text1"/>
          <w:sz w:val="32"/>
          <w:szCs w:val="32"/>
          <w14:textFill>
            <w14:solidFill>
              <w14:schemeClr w14:val="tx1"/>
            </w14:solidFill>
          </w14:textFill>
        </w:rPr>
      </w:pPr>
      <w:r>
        <w:rPr>
          <w:rFonts w:hint="eastAsia" w:eastAsia="SimHei" w:cs="SimHei"/>
          <w:bCs/>
          <w:color w:val="000000" w:themeColor="text1"/>
          <w:sz w:val="32"/>
          <w:szCs w:val="32"/>
          <w14:textFill>
            <w14:solidFill>
              <w14:schemeClr w14:val="tx1"/>
            </w14:solidFill>
          </w14:textFill>
        </w:rPr>
        <w:t>附件1</w:t>
      </w:r>
    </w:p>
    <w:p>
      <w:pPr>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北京师范大学“京师杯”课外学术科技作品竞赛章程</w:t>
      </w:r>
    </w:p>
    <w:p>
      <w:pPr>
        <w:adjustRightInd w:val="0"/>
        <w:snapToGrid w:val="0"/>
        <w:spacing w:before="156" w:beforeLines="50" w:after="156" w:afterLines="50" w:line="560" w:lineRule="exact"/>
        <w:ind w:firstLine="641" w:firstLineChars="200"/>
        <w:jc w:val="center"/>
        <w:rPr>
          <w:rFonts w:ascii="SimHei" w:hAnsi="SimHei" w:eastAsia="SimHei" w:cs="仿宋_GB2312"/>
          <w:b/>
          <w:bCs/>
          <w:color w:val="000000" w:themeColor="text1"/>
          <w:sz w:val="32"/>
          <w:szCs w:val="32"/>
          <w14:textFill>
            <w14:solidFill>
              <w14:schemeClr w14:val="tx1"/>
            </w14:solidFill>
          </w14:textFill>
        </w:rPr>
      </w:pPr>
      <w:r>
        <w:rPr>
          <w:rFonts w:hint="eastAsia" w:ascii="SimHei" w:hAnsi="SimHei" w:eastAsia="SimHei" w:cs="仿宋_GB2312"/>
          <w:b/>
          <w:bCs/>
          <w:color w:val="000000" w:themeColor="text1"/>
          <w:sz w:val="32"/>
          <w:szCs w:val="32"/>
          <w14:textFill>
            <w14:solidFill>
              <w14:schemeClr w14:val="tx1"/>
            </w14:solidFill>
          </w14:textFill>
        </w:rPr>
        <w:t>第一章 总  则</w:t>
      </w:r>
    </w:p>
    <w:p>
      <w:pPr>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第一条</w:t>
      </w:r>
      <w:r>
        <w:rPr>
          <w:rFonts w:hint="eastAsia" w:eastAsia="仿宋_GB2312" w:cs="仿宋_GB2312"/>
          <w:color w:val="000000" w:themeColor="text1"/>
          <w:sz w:val="32"/>
          <w:szCs w:val="32"/>
          <w14:textFill>
            <w14:solidFill>
              <w14:schemeClr w14:val="tx1"/>
            </w14:solidFill>
          </w14:textFill>
        </w:rPr>
        <w:t xml:space="preserve"> 北京师范大学</w:t>
      </w:r>
      <w:bookmarkStart w:id="0" w:name="_GoBack"/>
      <w:bookmarkEnd w:id="0"/>
      <w:r>
        <w:rPr>
          <w:rFonts w:hint="eastAsia" w:eastAsia="仿宋_GB2312" w:cs="仿宋_GB2312"/>
          <w:color w:val="000000" w:themeColor="text1"/>
          <w:sz w:val="32"/>
          <w:szCs w:val="32"/>
          <w14:textFill>
            <w14:solidFill>
              <w14:schemeClr w14:val="tx1"/>
            </w14:solidFill>
          </w14:textFill>
        </w:rPr>
        <w:t>“京师杯”课外学术科技作品竞赛是由校团委、教务部联合主办，由校团委青年科创服务中心具体承办的北京师范大学学生课外学术科技活动中一项具有导向性、示范性和群众性的竞赛活动，每学年举办一届。</w:t>
      </w:r>
    </w:p>
    <w:p>
      <w:pPr>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第二条</w:t>
      </w:r>
      <w:r>
        <w:rPr>
          <w:rFonts w:hint="eastAsia" w:eastAsia="仿宋_GB2312" w:cs="仿宋_GB2312"/>
          <w:color w:val="000000" w:themeColor="text1"/>
          <w:sz w:val="32"/>
          <w:szCs w:val="32"/>
          <w14:textFill>
            <w14:solidFill>
              <w14:schemeClr w14:val="tx1"/>
            </w14:solidFill>
          </w14:textFill>
        </w:rPr>
        <w:t xml:space="preserve"> 竞赛口号：鸣百</w:t>
      </w:r>
      <w:r>
        <w:rPr>
          <w:rFonts w:hint="eastAsia" w:eastAsia="仿宋_GB2312" w:cs="仿宋_GB2312"/>
          <w:color w:val="000000" w:themeColor="text1"/>
          <w:sz w:val="32"/>
          <w:szCs w:val="32"/>
          <w:lang w:eastAsia="zh-Hans"/>
          <w14:textFill>
            <w14:solidFill>
              <w14:schemeClr w14:val="tx1"/>
            </w14:solidFill>
          </w14:textFill>
        </w:rPr>
        <w:t>廿</w:t>
      </w:r>
      <w:r>
        <w:rPr>
          <w:rFonts w:hint="eastAsia" w:eastAsia="仿宋_GB2312" w:cs="仿宋_GB2312"/>
          <w:color w:val="000000" w:themeColor="text1"/>
          <w:sz w:val="32"/>
          <w:szCs w:val="32"/>
          <w14:textFill>
            <w14:solidFill>
              <w14:schemeClr w14:val="tx1"/>
            </w14:solidFill>
          </w14:textFill>
        </w:rPr>
        <w:t>京师铿锵之音，传世纪名校学术传统。</w:t>
      </w:r>
    </w:p>
    <w:p>
      <w:pPr>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第三条</w:t>
      </w:r>
      <w:r>
        <w:rPr>
          <w:rFonts w:hint="eastAsia" w:eastAsia="仿宋_GB2312" w:cs="仿宋_GB2312"/>
          <w:color w:val="000000" w:themeColor="text1"/>
          <w:sz w:val="32"/>
          <w:szCs w:val="32"/>
          <w14:textFill>
            <w14:solidFill>
              <w14:schemeClr w14:val="tx1"/>
            </w14:solidFill>
          </w14:textFill>
        </w:rPr>
        <w:t xml:space="preserve"> 竞赛目的：弘扬师大优良学术传统，激发师大学子参与课外学术科技活动的积极性，大力营造“崇尚科学、追求真知、勤奋学习、锐意创新、迎接挑战”的良好氛围，促进师大学生课外学术科技活动的蓬勃开展，发现和培养在学术科技上有作为、有潜力的优秀人才，同时挑选出优秀的获奖作品参加更高级别的课外学术科技作品竞赛。</w:t>
      </w:r>
    </w:p>
    <w:p>
      <w:pPr>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第四条</w:t>
      </w:r>
      <w:r>
        <w:rPr>
          <w:rFonts w:hint="eastAsia" w:eastAsia="仿宋_GB2312" w:cs="仿宋_GB2312"/>
          <w:color w:val="000000" w:themeColor="text1"/>
          <w:sz w:val="32"/>
          <w:szCs w:val="32"/>
          <w14:textFill>
            <w14:solidFill>
              <w14:schemeClr w14:val="tx1"/>
            </w14:solidFill>
          </w14:textFill>
        </w:rPr>
        <w:t xml:space="preserve"> 竞赛方式：在校学生申报主题赛或专项赛两个赛道参赛；主办方将聘请有关专家评定出具有较高学术理论水平、实际应用价值和创新意义的优秀作品，给予奖励；组织学术交流和科技成果的展览、转让活动。</w:t>
      </w:r>
    </w:p>
    <w:p>
      <w:pPr>
        <w:spacing w:before="156" w:beforeLines="50" w:after="156" w:afterLines="50" w:line="560" w:lineRule="exact"/>
        <w:ind w:firstLine="641" w:firstLineChars="200"/>
        <w:jc w:val="center"/>
        <w:rPr>
          <w:rFonts w:ascii="SimHei" w:hAnsi="SimHei" w:eastAsia="SimHei" w:cs="仿宋_GB2312"/>
          <w:b/>
          <w:color w:val="000000" w:themeColor="text1"/>
          <w:sz w:val="32"/>
          <w:szCs w:val="32"/>
          <w14:textFill>
            <w14:solidFill>
              <w14:schemeClr w14:val="tx1"/>
            </w14:solidFill>
          </w14:textFill>
        </w:rPr>
      </w:pPr>
      <w:r>
        <w:rPr>
          <w:rFonts w:hint="eastAsia" w:ascii="SimHei" w:hAnsi="SimHei" w:eastAsia="SimHei" w:cs="仿宋_GB2312"/>
          <w:b/>
          <w:color w:val="000000" w:themeColor="text1"/>
          <w:sz w:val="32"/>
          <w:szCs w:val="32"/>
          <w14:textFill>
            <w14:solidFill>
              <w14:schemeClr w14:val="tx1"/>
            </w14:solidFill>
          </w14:textFill>
        </w:rPr>
        <w:t>第二章 组织机构及职责</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第五条</w:t>
      </w:r>
      <w:r>
        <w:rPr>
          <w:rFonts w:hint="eastAsia" w:eastAsia="仿宋_GB2312" w:cs="仿宋_GB2312"/>
          <w:color w:val="000000" w:themeColor="text1"/>
          <w:sz w:val="32"/>
          <w:szCs w:val="32"/>
          <w14:textFill>
            <w14:solidFill>
              <w14:schemeClr w14:val="tx1"/>
            </w14:solidFill>
          </w14:textFill>
        </w:rPr>
        <w:t xml:space="preserve"> 竞赛设立组织委员会，由主管校领导、主办单位有关负责人组成，竞赛办公室设在校团委。竞赛组织委员会职责如下：</w:t>
      </w:r>
    </w:p>
    <w:p>
      <w:pPr>
        <w:adjustRightInd w:val="0"/>
        <w:snapToGrid w:val="0"/>
        <w:spacing w:line="560" w:lineRule="exact"/>
        <w:ind w:left="-2" w:leftChars="-1"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1、审议、修改竞赛章程和评审规则；</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2、在作品预选至决赛及获奖名单公示规定的有效期内，接受参赛学生、全校师生对参赛作品资格或获奖作品的质疑和投诉；</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3、议决其他应由组委会议决的事项。</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第六条</w:t>
      </w:r>
      <w:r>
        <w:rPr>
          <w:rFonts w:hint="eastAsia" w:eastAsia="仿宋_GB2312" w:cs="仿宋_GB2312"/>
          <w:color w:val="000000" w:themeColor="text1"/>
          <w:sz w:val="32"/>
          <w:szCs w:val="32"/>
          <w14:textFill>
            <w14:solidFill>
              <w14:schemeClr w14:val="tx1"/>
            </w14:solidFill>
          </w14:textFill>
        </w:rPr>
        <w:t xml:space="preserve"> 竞赛设立评审委员会，由主办单位聘请的相关学科具有高级职称的专家组成。评审委员会职责如下：</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1、在本章程和评审规则基础上制定评审实施细则；</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2、审查参赛作品的参赛资格和学术规范；</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3、评定参赛作品获奖等次。</w:t>
      </w:r>
    </w:p>
    <w:p>
      <w:pPr>
        <w:adjustRightInd w:val="0"/>
        <w:snapToGrid w:val="0"/>
        <w:spacing w:before="156" w:beforeLines="50" w:after="156" w:afterLines="50" w:line="560" w:lineRule="exact"/>
        <w:ind w:firstLine="641" w:firstLineChars="200"/>
        <w:jc w:val="center"/>
        <w:rPr>
          <w:rFonts w:ascii="SimHei" w:hAnsi="SimHei" w:eastAsia="SimHei" w:cs="仿宋_GB2312"/>
          <w:b/>
          <w:bCs/>
          <w:color w:val="000000" w:themeColor="text1"/>
          <w:sz w:val="32"/>
          <w:szCs w:val="32"/>
          <w14:textFill>
            <w14:solidFill>
              <w14:schemeClr w14:val="tx1"/>
            </w14:solidFill>
          </w14:textFill>
        </w:rPr>
      </w:pPr>
      <w:r>
        <w:rPr>
          <w:rFonts w:hint="eastAsia" w:ascii="SimHei" w:hAnsi="SimHei" w:eastAsia="SimHei" w:cs="仿宋_GB2312"/>
          <w:b/>
          <w:bCs/>
          <w:color w:val="000000" w:themeColor="text1"/>
          <w:sz w:val="32"/>
          <w:szCs w:val="32"/>
          <w14:textFill>
            <w14:solidFill>
              <w14:schemeClr w14:val="tx1"/>
            </w14:solidFill>
          </w14:textFill>
        </w:rPr>
        <w:t>第三章 参赛资格与作品申报</w:t>
      </w:r>
    </w:p>
    <w:p>
      <w:pPr>
        <w:adjustRightInd w:val="0"/>
        <w:snapToGrid w:val="0"/>
        <w:spacing w:line="560" w:lineRule="exact"/>
        <w:ind w:firstLine="643"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第七条</w:t>
      </w:r>
      <w:r>
        <w:rPr>
          <w:rFonts w:hint="eastAsia" w:eastAsia="仿宋_GB2312" w:cs="仿宋_GB2312"/>
          <w:bCs/>
          <w:color w:val="000000" w:themeColor="text1"/>
          <w:sz w:val="32"/>
          <w:szCs w:val="32"/>
          <w14:textFill>
            <w14:solidFill>
              <w14:schemeClr w14:val="tx1"/>
            </w14:solidFill>
          </w14:textFill>
        </w:rPr>
        <w:t xml:space="preserve"> 凡在举办竞赛的当年6月1日之前正式注册的全日制</w:t>
      </w:r>
      <w:r>
        <w:rPr>
          <w:rFonts w:hint="eastAsia" w:eastAsia="仿宋_GB2312" w:cs="仿宋_GB2312"/>
          <w:b/>
          <w:bCs/>
          <w:color w:val="000000" w:themeColor="text1"/>
          <w:sz w:val="32"/>
          <w:szCs w:val="32"/>
          <w14:textFill>
            <w14:solidFill>
              <w14:schemeClr w14:val="tx1"/>
            </w14:solidFill>
          </w14:textFill>
        </w:rPr>
        <w:t>在校本科生</w:t>
      </w:r>
      <w:r>
        <w:rPr>
          <w:rFonts w:hint="eastAsia" w:eastAsia="仿宋_GB2312" w:cs="仿宋_GB2312"/>
          <w:bCs/>
          <w:color w:val="000000" w:themeColor="text1"/>
          <w:sz w:val="32"/>
          <w:szCs w:val="32"/>
          <w14:textFill>
            <w14:solidFill>
              <w14:schemeClr w14:val="tx1"/>
            </w14:solidFill>
          </w14:textFill>
        </w:rPr>
        <w:t>、</w:t>
      </w:r>
      <w:r>
        <w:rPr>
          <w:rFonts w:hint="eastAsia" w:eastAsia="仿宋_GB2312" w:cs="仿宋_GB2312"/>
          <w:b/>
          <w:bCs/>
          <w:color w:val="000000" w:themeColor="text1"/>
          <w:sz w:val="32"/>
          <w:szCs w:val="32"/>
          <w14:textFill>
            <w14:solidFill>
              <w14:schemeClr w14:val="tx1"/>
            </w14:solidFill>
          </w14:textFill>
        </w:rPr>
        <w:t>研究生</w:t>
      </w:r>
      <w:r>
        <w:rPr>
          <w:rFonts w:hint="eastAsia" w:eastAsia="仿宋_GB2312" w:cs="仿宋_GB2312"/>
          <w:bCs/>
          <w:color w:val="000000" w:themeColor="text1"/>
          <w:sz w:val="32"/>
          <w:szCs w:val="32"/>
          <w14:textFill>
            <w14:solidFill>
              <w14:schemeClr w14:val="tx1"/>
            </w14:solidFill>
          </w14:textFill>
        </w:rPr>
        <w:t>（不含在职研究生）都可以申报作品参赛。其中，在竞赛报名期间，在北京校区学习的学生根据共青团北京师范大学委员会发布的通知进行报名参赛，在珠海</w:t>
      </w:r>
      <w:r>
        <w:rPr>
          <w:rFonts w:hint="eastAsia" w:eastAsia="仿宋_GB2312" w:cs="仿宋_GB2312"/>
          <w:bCs/>
          <w:color w:val="000000" w:themeColor="text1"/>
          <w:sz w:val="32"/>
          <w:szCs w:val="32"/>
          <w:lang w:eastAsia="zh-Hans"/>
          <w14:textFill>
            <w14:solidFill>
              <w14:schemeClr w14:val="tx1"/>
            </w14:solidFill>
          </w14:textFill>
        </w:rPr>
        <w:t>园</w:t>
      </w:r>
      <w:r>
        <w:rPr>
          <w:rFonts w:hint="eastAsia" w:eastAsia="仿宋_GB2312" w:cs="仿宋_GB2312"/>
          <w:bCs/>
          <w:color w:val="000000" w:themeColor="text1"/>
          <w:sz w:val="32"/>
          <w:szCs w:val="32"/>
          <w14:textFill>
            <w14:solidFill>
              <w14:schemeClr w14:val="tx1"/>
            </w14:solidFill>
          </w14:textFill>
        </w:rPr>
        <w:t>区学习的学生根据共青团北京师范大学珠海校区委员会和共青团北京师范大学珠海分校委员会发布的通知进行报名参赛。</w:t>
      </w:r>
    </w:p>
    <w:p>
      <w:pPr>
        <w:adjustRightInd w:val="0"/>
        <w:snapToGrid w:val="0"/>
        <w:spacing w:line="560" w:lineRule="exact"/>
        <w:ind w:firstLine="643"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第八条</w:t>
      </w:r>
      <w:r>
        <w:rPr>
          <w:rFonts w:hint="eastAsia" w:eastAsia="仿宋_GB2312" w:cs="仿宋_GB2312"/>
          <w:bCs/>
          <w:color w:val="000000" w:themeColor="text1"/>
          <w:sz w:val="32"/>
          <w:szCs w:val="32"/>
          <w14:textFill>
            <w14:solidFill>
              <w14:schemeClr w14:val="tx1"/>
            </w14:solidFill>
          </w14:textFill>
        </w:rPr>
        <w:t xml:space="preserve"> 申报参赛的作品必须是距竞赛举办当年6月1日前两年内完成的学生课外学术科技或社会实践活动成果，可分为个人作品和集体作品。申报个人作品的，申报者必须承担申报作品60％以上的研究工作，且作品鉴定证书、专利证书及发表的有关作品上的署名均应为第一作者，合作者必须是学生且不得超过两人。凡作者超过3人，或不超过3人但无法区分第一作者的项目，均须申报集体作品。申报集体作品的，须有1名团队负责人，且团队总人数不超过4人。个人作品和集体作品均须有1名或多名教师（最多不超过3名）指导完成。凡有合作者的个人作品或集体作品，均按学历最高的作者划分至本科生组、研究生组进行评审。作品一经提交，作品名称、成员名单、指导老师等关键信息不得变动。</w:t>
      </w:r>
    </w:p>
    <w:p>
      <w:pPr>
        <w:widowControl/>
        <w:ind w:firstLine="640" w:firstLineChars="200"/>
        <w:jc w:val="left"/>
      </w:pPr>
      <w:r>
        <w:rPr>
          <w:rFonts w:hint="eastAsia" w:eastAsia="仿宋_GB2312" w:cs="仿宋_GB2312"/>
          <w:bCs/>
          <w:color w:val="000000" w:themeColor="text1"/>
          <w:sz w:val="32"/>
          <w:szCs w:val="32"/>
          <w14:textFill>
            <w14:solidFill>
              <w14:schemeClr w14:val="tx1"/>
            </w14:solidFill>
          </w14:textFill>
        </w:rPr>
        <w:t>毕业设计和课程设计（论文）、学年论文和学位论文、国际竞赛中获奖的作品、</w:t>
      </w:r>
      <w:r>
        <w:rPr>
          <w:rFonts w:ascii="仿宋_GB2312" w:hAnsi="仿宋_GB2312" w:eastAsia="仿宋_GB2312" w:cs="仿宋_GB2312"/>
          <w:color w:val="000000"/>
          <w:kern w:val="0"/>
          <w:sz w:val="31"/>
          <w:szCs w:val="31"/>
          <w:lang w:bidi="ar"/>
        </w:rPr>
        <w:t>获国家级奖励成果（含本竞赛主办单位参与举办的其他全国性竞赛的获奖作品）</w:t>
      </w:r>
      <w:r>
        <w:rPr>
          <w:rFonts w:hint="eastAsia" w:ascii="仿宋_GB2312" w:hAnsi="仿宋_GB2312" w:eastAsia="仿宋_GB2312" w:cs="仿宋_GB2312"/>
          <w:color w:val="000000"/>
          <w:kern w:val="0"/>
          <w:sz w:val="31"/>
          <w:szCs w:val="31"/>
          <w:lang w:bidi="ar"/>
        </w:rPr>
        <w:t>、往届</w:t>
      </w:r>
      <w:r>
        <w:rPr>
          <w:rFonts w:hint="eastAsia" w:eastAsia="仿宋_GB2312" w:cs="仿宋_GB2312"/>
          <w:bCs/>
          <w:color w:val="000000" w:themeColor="text1"/>
          <w:sz w:val="32"/>
          <w:szCs w:val="32"/>
          <w14:textFill>
            <w14:solidFill>
              <w14:schemeClr w14:val="tx1"/>
            </w14:solidFill>
          </w14:textFill>
        </w:rPr>
        <w:t>“京师杯”获奖的作品</w:t>
      </w:r>
      <w:r>
        <w:rPr>
          <w:rFonts w:ascii="仿宋_GB2312" w:hAnsi="仿宋_GB2312" w:eastAsia="仿宋_GB2312" w:cs="仿宋_GB2312"/>
          <w:color w:val="000000"/>
          <w:kern w:val="0"/>
          <w:sz w:val="31"/>
          <w:szCs w:val="31"/>
          <w:lang w:bidi="ar"/>
        </w:rPr>
        <w:t>等均不在申报范围之列。</w:t>
      </w:r>
    </w:p>
    <w:p>
      <w:pPr>
        <w:adjustRightInd w:val="0"/>
        <w:snapToGrid w:val="0"/>
        <w:spacing w:line="560" w:lineRule="exact"/>
        <w:ind w:firstLine="643"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第九条</w:t>
      </w:r>
      <w:r>
        <w:rPr>
          <w:rFonts w:hint="eastAsia" w:eastAsia="仿宋_GB2312" w:cs="仿宋_GB2312"/>
          <w:bCs/>
          <w:color w:val="000000" w:themeColor="text1"/>
          <w:sz w:val="32"/>
          <w:szCs w:val="32"/>
          <w14:textFill>
            <w14:solidFill>
              <w14:schemeClr w14:val="tx1"/>
            </w14:solidFill>
          </w14:textFill>
        </w:rPr>
        <w:t xml:space="preserve"> 申报参赛的自然科学类学术论文作者仅限本科生。哲学社会科学类作品支持围绕发展成就、文明文化、美丽中国、民生福祉、中国之治等领域形成社会调查报告或学术论文。</w:t>
      </w:r>
    </w:p>
    <w:p>
      <w:pPr>
        <w:adjustRightInd w:val="0"/>
        <w:snapToGrid w:val="0"/>
        <w:spacing w:line="560" w:lineRule="exact"/>
        <w:ind w:firstLine="643"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 xml:space="preserve">第十条 </w:t>
      </w:r>
      <w:r>
        <w:rPr>
          <w:rFonts w:hint="eastAsia" w:eastAsia="仿宋_GB2312" w:cs="仿宋_GB2312"/>
          <w:bCs/>
          <w:color w:val="000000" w:themeColor="text1"/>
          <w:sz w:val="32"/>
          <w:szCs w:val="32"/>
          <w14:textFill>
            <w14:solidFill>
              <w14:schemeClr w14:val="tx1"/>
            </w14:solidFill>
          </w14:textFill>
        </w:rPr>
        <w:t>参赛作品涉及下列内容时，必须由申报者提供有关部门的证明材料，否则不予评审。</w:t>
      </w:r>
    </w:p>
    <w:p>
      <w:pPr>
        <w:adjustRightInd w:val="0"/>
        <w:snapToGrid w:val="0"/>
        <w:spacing w:line="560" w:lineRule="exact"/>
        <w:ind w:firstLine="640"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Cs/>
          <w:color w:val="000000" w:themeColor="text1"/>
          <w:sz w:val="32"/>
          <w:szCs w:val="32"/>
          <w14:textFill>
            <w14:solidFill>
              <w14:schemeClr w14:val="tx1"/>
            </w14:solidFill>
          </w14:textFill>
        </w:rPr>
        <w:t>（一）动植物新品种的发现或培育，须有省级以上农科部门或科研院所开具证明；</w:t>
      </w:r>
    </w:p>
    <w:p>
      <w:pPr>
        <w:adjustRightInd w:val="0"/>
        <w:snapToGrid w:val="0"/>
        <w:spacing w:line="560" w:lineRule="exact"/>
        <w:ind w:firstLine="640"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Cs/>
          <w:color w:val="000000" w:themeColor="text1"/>
          <w:sz w:val="32"/>
          <w:szCs w:val="32"/>
          <w14:textFill>
            <w14:solidFill>
              <w14:schemeClr w14:val="tx1"/>
            </w14:solidFill>
          </w14:textFill>
        </w:rPr>
        <w:t>（二）对国家保护动植物的研究，须有省级以上林业部门开具证明，证明该项研究的过程中未产生对所研究的动植物繁衍、生长不利的影响；</w:t>
      </w:r>
    </w:p>
    <w:p>
      <w:pPr>
        <w:adjustRightInd w:val="0"/>
        <w:snapToGrid w:val="0"/>
        <w:spacing w:line="560" w:lineRule="exact"/>
        <w:ind w:firstLine="640"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Cs/>
          <w:color w:val="000000" w:themeColor="text1"/>
          <w:sz w:val="32"/>
          <w:szCs w:val="32"/>
          <w14:textFill>
            <w14:solidFill>
              <w14:schemeClr w14:val="tx1"/>
            </w14:solidFill>
          </w14:textFill>
        </w:rPr>
        <w:t>（三）新药物的研究，须有卫生行政部门授权机构的鉴定证明；</w:t>
      </w:r>
    </w:p>
    <w:p>
      <w:pPr>
        <w:adjustRightInd w:val="0"/>
        <w:snapToGrid w:val="0"/>
        <w:spacing w:line="560" w:lineRule="exact"/>
        <w:ind w:firstLine="640"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Cs/>
          <w:color w:val="000000" w:themeColor="text1"/>
          <w:sz w:val="32"/>
          <w:szCs w:val="32"/>
          <w14:textFill>
            <w14:solidFill>
              <w14:schemeClr w14:val="tx1"/>
            </w14:solidFill>
          </w14:textFill>
        </w:rPr>
        <w:t>（四）医疗卫生研究须通过专家鉴定，并应附有在公开发行的专业性杂志上发表过的文章；</w:t>
      </w:r>
    </w:p>
    <w:p>
      <w:pPr>
        <w:adjustRightInd w:val="0"/>
        <w:snapToGrid w:val="0"/>
        <w:spacing w:line="560" w:lineRule="exact"/>
        <w:ind w:firstLine="640" w:firstLineChars="200"/>
        <w:rPr>
          <w:rFonts w:eastAsia="仿宋_GB2312" w:cs="仿宋_GB2312"/>
          <w:bCs/>
          <w:color w:val="000000" w:themeColor="text1"/>
          <w:sz w:val="32"/>
          <w:szCs w:val="32"/>
          <w14:textFill>
            <w14:solidFill>
              <w14:schemeClr w14:val="tx1"/>
            </w14:solidFill>
          </w14:textFill>
        </w:rPr>
      </w:pPr>
      <w:r>
        <w:rPr>
          <w:rFonts w:hint="eastAsia" w:eastAsia="仿宋_GB2312" w:cs="仿宋_GB2312"/>
          <w:bCs/>
          <w:color w:val="000000" w:themeColor="text1"/>
          <w:sz w:val="32"/>
          <w:szCs w:val="32"/>
          <w14:textFill>
            <w14:solidFill>
              <w14:schemeClr w14:val="tx1"/>
            </w14:solidFill>
          </w14:textFill>
        </w:rPr>
        <w:t>（五）涉及燃气用具等与人民生命财产安全有关用具的研究，须有国家相应行政部门授权机构的认定证明。</w:t>
      </w:r>
    </w:p>
    <w:p>
      <w:pPr>
        <w:adjustRightInd w:val="0"/>
        <w:snapToGrid w:val="0"/>
        <w:spacing w:before="156" w:beforeLines="50" w:after="156" w:afterLines="50" w:line="560" w:lineRule="exact"/>
        <w:ind w:firstLine="641" w:firstLineChars="200"/>
        <w:jc w:val="center"/>
        <w:rPr>
          <w:rFonts w:ascii="SimHei" w:hAnsi="SimHei" w:eastAsia="SimHei" w:cs="仿宋_GB2312"/>
          <w:b/>
          <w:bCs/>
          <w:color w:val="000000" w:themeColor="text1"/>
          <w:sz w:val="32"/>
          <w:szCs w:val="32"/>
          <w14:textFill>
            <w14:solidFill>
              <w14:schemeClr w14:val="tx1"/>
            </w14:solidFill>
          </w14:textFill>
        </w:rPr>
      </w:pPr>
      <w:r>
        <w:rPr>
          <w:rFonts w:hint="eastAsia" w:ascii="SimHei" w:hAnsi="SimHei" w:eastAsia="SimHei" w:cs="仿宋_GB2312"/>
          <w:b/>
          <w:bCs/>
          <w:color w:val="000000" w:themeColor="text1"/>
          <w:sz w:val="32"/>
          <w:szCs w:val="32"/>
          <w14:textFill>
            <w14:solidFill>
              <w14:schemeClr w14:val="tx1"/>
            </w14:solidFill>
          </w14:textFill>
        </w:rPr>
        <w:t>第四章 评审与表彰</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第十一条</w:t>
      </w:r>
      <w:r>
        <w:rPr>
          <w:rFonts w:hint="eastAsia" w:eastAsia="仿宋_GB2312" w:cs="仿宋_GB2312"/>
          <w:color w:val="000000" w:themeColor="text1"/>
          <w:sz w:val="32"/>
          <w:szCs w:val="32"/>
          <w14:textFill>
            <w14:solidFill>
              <w14:schemeClr w14:val="tx1"/>
            </w14:solidFill>
          </w14:textFill>
        </w:rPr>
        <w:t xml:space="preserve"> 组委会办公室按照作品的申报要求，对参赛作品进行资格审查，符合参赛资格的作品将送至各竞赛评审小组，按照不同赛道和报送类别的评审标准进行打分。</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第十二条</w:t>
      </w:r>
      <w:r>
        <w:rPr>
          <w:rFonts w:hint="eastAsia" w:eastAsia="仿宋_GB2312" w:cs="仿宋_GB2312"/>
          <w:color w:val="000000" w:themeColor="text1"/>
          <w:sz w:val="32"/>
          <w:szCs w:val="32"/>
          <w14:textFill>
            <w14:solidFill>
              <w14:schemeClr w14:val="tx1"/>
            </w14:solidFill>
          </w14:textFill>
        </w:rPr>
        <w:t xml:space="preserve"> 竞赛分赛道设一等奖、二等奖、三等奖若干名，竞赛组委会对于优秀作品将给予适当的奖励。</w:t>
      </w:r>
    </w:p>
    <w:p>
      <w:pPr>
        <w:adjustRightInd w:val="0"/>
        <w:snapToGrid w:val="0"/>
        <w:spacing w:before="156" w:beforeLines="50" w:after="156" w:afterLines="50" w:line="560" w:lineRule="exact"/>
        <w:ind w:firstLine="641" w:firstLineChars="200"/>
        <w:jc w:val="center"/>
        <w:rPr>
          <w:rFonts w:ascii="SimHei" w:hAnsi="SimHei" w:eastAsia="SimHei" w:cs="仿宋_GB2312"/>
          <w:b/>
          <w:bCs/>
          <w:color w:val="000000" w:themeColor="text1"/>
          <w:sz w:val="32"/>
          <w:szCs w:val="32"/>
          <w14:textFill>
            <w14:solidFill>
              <w14:schemeClr w14:val="tx1"/>
            </w14:solidFill>
          </w14:textFill>
        </w:rPr>
      </w:pPr>
      <w:r>
        <w:rPr>
          <w:rFonts w:hint="eastAsia" w:ascii="SimHei" w:hAnsi="SimHei" w:eastAsia="SimHei" w:cs="仿宋_GB2312"/>
          <w:b/>
          <w:bCs/>
          <w:color w:val="000000" w:themeColor="text1"/>
          <w:sz w:val="32"/>
          <w:szCs w:val="32"/>
          <w14:textFill>
            <w14:solidFill>
              <w14:schemeClr w14:val="tx1"/>
            </w14:solidFill>
          </w14:textFill>
        </w:rPr>
        <w:t>第五章 公示与惩戒</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第十三条</w:t>
      </w:r>
      <w:r>
        <w:rPr>
          <w:rFonts w:hint="eastAsia" w:eastAsia="仿宋_GB2312" w:cs="仿宋_GB2312"/>
          <w:color w:val="000000" w:themeColor="text1"/>
          <w:sz w:val="32"/>
          <w:szCs w:val="32"/>
          <w14:textFill>
            <w14:solidFill>
              <w14:schemeClr w14:val="tx1"/>
            </w14:solidFill>
          </w14:textFill>
        </w:rPr>
        <w:t xml:space="preserve"> 参赛作品存在舞弊、抄袭、作假，将国家课题、教师科研成果包装成学生项目的，均视为严重违规行为，一经查实取消作品参赛资格。</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bCs/>
          <w:color w:val="000000" w:themeColor="text1"/>
          <w:sz w:val="32"/>
          <w:szCs w:val="32"/>
          <w14:textFill>
            <w14:solidFill>
              <w14:schemeClr w14:val="tx1"/>
            </w14:solidFill>
          </w14:textFill>
        </w:rPr>
        <w:t>第十四条</w:t>
      </w:r>
      <w:r>
        <w:rPr>
          <w:rFonts w:hint="eastAsia" w:eastAsia="仿宋_GB2312" w:cs="仿宋_GB2312"/>
          <w:color w:val="000000" w:themeColor="text1"/>
          <w:sz w:val="32"/>
          <w:szCs w:val="32"/>
          <w14:textFill>
            <w14:solidFill>
              <w14:schemeClr w14:val="tx1"/>
            </w14:solidFill>
          </w14:textFill>
        </w:rPr>
        <w:t xml:space="preserve"> 优秀作品评审结束后，组委会对获奖作品进行为期一周的公示。公示期内，任何个人或单位对获奖作品持有异议的，须以书面形式，实名向组委会反映，并提供必要的证据材料，以便核实情况。提出异议的个人或单位须在书面材料上签名或盖章，并提供有效的联系方式。凡匿名、冒名和超出时限的异议不予回应。收到投诉后，组委会将委托有关部门进行调查。如经核实，确认该作品不符合章程规定的参赛资格，组委会将取消该作品所获得的奖励。</w:t>
      </w:r>
    </w:p>
    <w:p>
      <w:pPr>
        <w:adjustRightInd w:val="0"/>
        <w:snapToGrid w:val="0"/>
        <w:spacing w:before="156" w:beforeLines="50" w:after="156" w:afterLines="50" w:line="560" w:lineRule="exact"/>
        <w:ind w:firstLine="641" w:firstLineChars="200"/>
        <w:jc w:val="center"/>
        <w:rPr>
          <w:rFonts w:ascii="SimHei" w:hAnsi="SimHei" w:eastAsia="SimHei" w:cs="仿宋_GB2312"/>
          <w:b/>
          <w:bCs/>
          <w:color w:val="000000" w:themeColor="text1"/>
          <w:sz w:val="32"/>
          <w:szCs w:val="32"/>
          <w14:textFill>
            <w14:solidFill>
              <w14:schemeClr w14:val="tx1"/>
            </w14:solidFill>
          </w14:textFill>
        </w:rPr>
      </w:pPr>
      <w:r>
        <w:rPr>
          <w:rFonts w:hint="eastAsia" w:ascii="SimHei" w:hAnsi="SimHei" w:eastAsia="SimHei" w:cs="仿宋_GB2312"/>
          <w:b/>
          <w:bCs/>
          <w:color w:val="000000" w:themeColor="text1"/>
          <w:sz w:val="32"/>
          <w:szCs w:val="32"/>
          <w14:textFill>
            <w14:solidFill>
              <w14:schemeClr w14:val="tx1"/>
            </w14:solidFill>
          </w14:textFill>
        </w:rPr>
        <w:t>第六章 附  则</w:t>
      </w:r>
    </w:p>
    <w:p>
      <w:pPr>
        <w:adjustRightInd w:val="0"/>
        <w:snapToGrid w:val="0"/>
        <w:spacing w:line="560" w:lineRule="exact"/>
        <w:ind w:firstLine="643"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b/>
          <w:color w:val="000000" w:themeColor="text1"/>
          <w:sz w:val="32"/>
          <w:szCs w:val="32"/>
          <w14:textFill>
            <w14:solidFill>
              <w14:schemeClr w14:val="tx1"/>
            </w14:solidFill>
          </w14:textFill>
        </w:rPr>
        <w:t>第十五条</w:t>
      </w:r>
      <w:r>
        <w:rPr>
          <w:rFonts w:hint="eastAsia" w:eastAsia="仿宋_GB2312" w:cs="仿宋_GB2312"/>
          <w:color w:val="000000" w:themeColor="text1"/>
          <w:sz w:val="32"/>
          <w:szCs w:val="32"/>
          <w14:textFill>
            <w14:solidFill>
              <w14:schemeClr w14:val="tx1"/>
            </w14:solidFill>
          </w14:textFill>
        </w:rPr>
        <w:t xml:space="preserve"> 本章程自竞赛组委会审议通过之日起生效，由竞赛主办单位及竞赛组委会负责解释。</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B0604020202020204"/>
    <w:charset w:val="00"/>
    <w:family w:val="auto"/>
    <w:pitch w:val="default"/>
    <w:sig w:usb0="00000000" w:usb1="00000000" w:usb2="00000000" w:usb3="00000000" w:csb0="00000000" w:csb1="00000000"/>
  </w:font>
  <w:font w:name="SimHei">
    <w:altName w:val="汉仪中黑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d4Bfjk0paFj+AsGff1OT/5mvFLI=" w:salt="rWd1OTQ0ewuGkzQzbV9Bzg=="/>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72A27"/>
    <w:rsid w:val="00034949"/>
    <w:rsid w:val="00073B6A"/>
    <w:rsid w:val="000A4D52"/>
    <w:rsid w:val="000B63E3"/>
    <w:rsid w:val="000F6618"/>
    <w:rsid w:val="00147DA0"/>
    <w:rsid w:val="00167D8F"/>
    <w:rsid w:val="00172A27"/>
    <w:rsid w:val="00194263"/>
    <w:rsid w:val="001D21D2"/>
    <w:rsid w:val="001E797E"/>
    <w:rsid w:val="001F731B"/>
    <w:rsid w:val="002420C8"/>
    <w:rsid w:val="002477DF"/>
    <w:rsid w:val="002525AC"/>
    <w:rsid w:val="00346724"/>
    <w:rsid w:val="003D650E"/>
    <w:rsid w:val="00401008"/>
    <w:rsid w:val="00405806"/>
    <w:rsid w:val="00496840"/>
    <w:rsid w:val="00544095"/>
    <w:rsid w:val="00564142"/>
    <w:rsid w:val="005674A6"/>
    <w:rsid w:val="005A4147"/>
    <w:rsid w:val="00611645"/>
    <w:rsid w:val="00654527"/>
    <w:rsid w:val="00664501"/>
    <w:rsid w:val="006C3CE8"/>
    <w:rsid w:val="006F61C7"/>
    <w:rsid w:val="00705C1E"/>
    <w:rsid w:val="00706ECC"/>
    <w:rsid w:val="007109AB"/>
    <w:rsid w:val="007179C7"/>
    <w:rsid w:val="007409C1"/>
    <w:rsid w:val="007866AE"/>
    <w:rsid w:val="0079452D"/>
    <w:rsid w:val="007A15DB"/>
    <w:rsid w:val="008063A7"/>
    <w:rsid w:val="00837AD5"/>
    <w:rsid w:val="00842DDD"/>
    <w:rsid w:val="00866497"/>
    <w:rsid w:val="008749FB"/>
    <w:rsid w:val="00890525"/>
    <w:rsid w:val="0090293A"/>
    <w:rsid w:val="00907045"/>
    <w:rsid w:val="00953A5F"/>
    <w:rsid w:val="00963978"/>
    <w:rsid w:val="009A575A"/>
    <w:rsid w:val="009F11E3"/>
    <w:rsid w:val="00A51E81"/>
    <w:rsid w:val="00A6700C"/>
    <w:rsid w:val="00A807B8"/>
    <w:rsid w:val="00A95A44"/>
    <w:rsid w:val="00AA3480"/>
    <w:rsid w:val="00B029B0"/>
    <w:rsid w:val="00B02FCC"/>
    <w:rsid w:val="00B2406A"/>
    <w:rsid w:val="00B25189"/>
    <w:rsid w:val="00B85145"/>
    <w:rsid w:val="00BF635A"/>
    <w:rsid w:val="00C37BF8"/>
    <w:rsid w:val="00C42CF2"/>
    <w:rsid w:val="00C54792"/>
    <w:rsid w:val="00C87A13"/>
    <w:rsid w:val="00CD78AF"/>
    <w:rsid w:val="00D55C10"/>
    <w:rsid w:val="00D61DA3"/>
    <w:rsid w:val="00D8285E"/>
    <w:rsid w:val="00DB5B3B"/>
    <w:rsid w:val="00DD174D"/>
    <w:rsid w:val="00DD17D1"/>
    <w:rsid w:val="00E06A2E"/>
    <w:rsid w:val="00E3330E"/>
    <w:rsid w:val="00E65D34"/>
    <w:rsid w:val="00E802FA"/>
    <w:rsid w:val="00EA2310"/>
    <w:rsid w:val="00ED6DEB"/>
    <w:rsid w:val="00F37520"/>
    <w:rsid w:val="00F71C64"/>
    <w:rsid w:val="00F95DB3"/>
    <w:rsid w:val="00FB4B86"/>
    <w:rsid w:val="00FC3859"/>
    <w:rsid w:val="00FF6626"/>
    <w:rsid w:val="05311691"/>
    <w:rsid w:val="0C6617A9"/>
    <w:rsid w:val="1919595E"/>
    <w:rsid w:val="1D7DCF71"/>
    <w:rsid w:val="1DF71A60"/>
    <w:rsid w:val="236EA4D7"/>
    <w:rsid w:val="28F34106"/>
    <w:rsid w:val="31EF6727"/>
    <w:rsid w:val="33FBACF1"/>
    <w:rsid w:val="511C7C65"/>
    <w:rsid w:val="534C0175"/>
    <w:rsid w:val="56556DC2"/>
    <w:rsid w:val="56D542C5"/>
    <w:rsid w:val="5D8033A1"/>
    <w:rsid w:val="5EC576AD"/>
    <w:rsid w:val="6CDB00BB"/>
    <w:rsid w:val="6F590BDB"/>
    <w:rsid w:val="74F87E07"/>
    <w:rsid w:val="76DE39DD"/>
    <w:rsid w:val="77B72410"/>
    <w:rsid w:val="7AF9BF68"/>
    <w:rsid w:val="7D8D8F17"/>
    <w:rsid w:val="7EFE33B6"/>
    <w:rsid w:val="7F7CAA6E"/>
    <w:rsid w:val="7FEED6B2"/>
    <w:rsid w:val="7FFF8CCA"/>
    <w:rsid w:val="7FFFC34E"/>
    <w:rsid w:val="9FB75A65"/>
    <w:rsid w:val="B3FB0F0F"/>
    <w:rsid w:val="B8F73F3C"/>
    <w:rsid w:val="BBBDCF67"/>
    <w:rsid w:val="BEE65CF0"/>
    <w:rsid w:val="DB9FF624"/>
    <w:rsid w:val="DDFFBF10"/>
    <w:rsid w:val="EDD976CD"/>
    <w:rsid w:val="EDDB5113"/>
    <w:rsid w:val="EE7F651B"/>
    <w:rsid w:val="F7F1086E"/>
    <w:rsid w:val="F91FAD75"/>
    <w:rsid w:val="F9B3553B"/>
    <w:rsid w:val="FD274DBC"/>
    <w:rsid w:val="FF7C9169"/>
    <w:rsid w:val="FF7F4B0B"/>
    <w:rsid w:val="FFEF7B92"/>
    <w:rsid w:val="FFF34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440" w:lineRule="exact"/>
      <w:ind w:firstLine="600"/>
    </w:pPr>
    <w:rPr>
      <w:rFonts w:ascii="仿宋_GB2312" w:eastAsia="仿宋_GB2312"/>
      <w:color w:val="FF0000"/>
      <w:sz w:val="28"/>
      <w:szCs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00"/>
      <w:u w:val="none"/>
    </w:rPr>
  </w:style>
  <w:style w:type="paragraph" w:styleId="11">
    <w:name w:val="List Paragraph"/>
    <w:basedOn w:val="1"/>
    <w:qFormat/>
    <w:uiPriority w:val="34"/>
    <w:pPr>
      <w:ind w:firstLine="420" w:firstLineChars="200"/>
    </w:pPr>
  </w:style>
  <w:style w:type="paragraph" w:customStyle="1" w:styleId="12">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北京师范大学</Company>
  <Pages>5</Pages>
  <Words>309</Words>
  <Characters>1764</Characters>
  <Lines>14</Lines>
  <Paragraphs>4</Paragraphs>
  <TotalTime>14</TotalTime>
  <ScaleCrop>false</ScaleCrop>
  <LinksUpToDate>false</LinksUpToDate>
  <CharactersWithSpaces>2069</CharactersWithSpaces>
  <Application>WPS Office_6.5.0.8619_F1E327BC-269C-435d-A152-05C5408002CA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2021-02-11T05:45:00Z</dcterms:created>
  <dc:creator>xyang</dc:creator>
  <cp:lastModifiedBy>Gu</cp:lastModifiedBy>
  <cp:lastPrinted>2024-02-25T07:50:00Z</cp:lastPrinted>
  <dcterms:modified xsi:type="dcterms:W3CDTF">2024-03-01T19:54:53Z</dcterms:modified>
  <dc:title>竞赛章程</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C4CD324639E9BADD1B60E0658AD7FA4A_43</vt:lpwstr>
  </property>
</Properties>
</file>