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12DD627">
      <w:pPr>
        <w:pStyle w:val="style0"/>
        <w:widowControl/>
        <w:jc w:val="center"/>
        <w:rPr>
          <w:rFonts w:ascii="方正公文小标宋" w:cs="方正公文小标宋" w:eastAsia="方正公文小标宋" w:hAnsi="方正公文小标宋" w:hint="eastAsia"/>
          <w:b w:val="false"/>
          <w:bCs w:val="false"/>
          <w:color w:val="000000"/>
          <w:kern w:val="0"/>
          <w:sz w:val="36"/>
          <w:szCs w:val="36"/>
          <w:highlight w:val="none"/>
          <w:lang w:val="en-US"/>
        </w:rPr>
      </w:pPr>
      <w:r>
        <w:rPr>
          <w:rFonts w:ascii="方正公文小标宋" w:cs="方正公文小标宋" w:eastAsia="方正公文小标宋" w:hAnsi="方正公文小标宋" w:hint="eastAsia"/>
          <w:b w:val="false"/>
          <w:bCs w:val="false"/>
          <w:color w:val="000000"/>
          <w:kern w:val="0"/>
          <w:sz w:val="36"/>
          <w:szCs w:val="36"/>
          <w:highlight w:val="none"/>
        </w:rPr>
        <w:t>北京师范大学202</w:t>
      </w:r>
      <w:r>
        <w:rPr>
          <w:rFonts w:cs="方正公文小标宋" w:eastAsia="方正公文小标宋" w:hAnsi="方正公文小标宋" w:hint="default"/>
          <w:b w:val="false"/>
          <w:bCs w:val="false"/>
          <w:color w:val="000000"/>
          <w:kern w:val="0"/>
          <w:sz w:val="36"/>
          <w:szCs w:val="36"/>
          <w:highlight w:val="none"/>
          <w:lang w:val="en-US"/>
        </w:rPr>
        <w:t>4</w:t>
      </w:r>
      <w:r>
        <w:rPr>
          <w:rFonts w:ascii="方正公文小标宋" w:cs="方正公文小标宋" w:eastAsia="方正公文小标宋" w:hAnsi="方正公文小标宋" w:hint="eastAsia"/>
          <w:b w:val="false"/>
          <w:bCs w:val="false"/>
          <w:color w:val="000000"/>
          <w:kern w:val="0"/>
          <w:sz w:val="36"/>
          <w:szCs w:val="36"/>
          <w:highlight w:val="none"/>
        </w:rPr>
        <w:t>-202</w:t>
      </w:r>
      <w:r>
        <w:rPr>
          <w:rFonts w:cs="方正公文小标宋" w:eastAsia="方正公文小标宋" w:hAnsi="方正公文小标宋" w:hint="default"/>
          <w:b w:val="false"/>
          <w:bCs w:val="false"/>
          <w:color w:val="000000"/>
          <w:kern w:val="0"/>
          <w:sz w:val="36"/>
          <w:szCs w:val="36"/>
          <w:highlight w:val="none"/>
          <w:lang w:val="en-US"/>
        </w:rPr>
        <w:t>5</w:t>
      </w:r>
      <w:r>
        <w:rPr>
          <w:rFonts w:ascii="方正公文小标宋" w:cs="方正公文小标宋" w:eastAsia="方正公文小标宋" w:hAnsi="方正公文小标宋" w:hint="eastAsia"/>
          <w:b w:val="false"/>
          <w:bCs w:val="false"/>
          <w:color w:val="000000"/>
          <w:kern w:val="0"/>
          <w:sz w:val="36"/>
          <w:szCs w:val="36"/>
          <w:highlight w:val="none"/>
          <w:lang w:val="en-US"/>
        </w:rPr>
        <w:t>学年院系级团委</w:t>
      </w:r>
    </w:p>
    <w:p w14:paraId="1D128E79">
      <w:pPr>
        <w:pStyle w:val="style0"/>
        <w:widowControl/>
        <w:jc w:val="center"/>
        <w:rPr>
          <w:rFonts w:ascii="方正公文小标宋" w:cs="方正公文小标宋" w:eastAsia="方正公文小标宋" w:hAnsi="方正公文小标宋" w:hint="eastAsia"/>
          <w:b w:val="false"/>
          <w:bCs w:val="false"/>
          <w:color w:val="000000"/>
          <w:kern w:val="0"/>
          <w:sz w:val="36"/>
          <w:szCs w:val="36"/>
          <w:highlight w:val="none"/>
        </w:rPr>
      </w:pPr>
      <w:r>
        <w:rPr>
          <w:rFonts w:ascii="方正公文小标宋" w:cs="方正公文小标宋" w:eastAsia="方正公文小标宋" w:hAnsi="方正公文小标宋" w:hint="eastAsia"/>
          <w:b w:val="false"/>
          <w:bCs w:val="false"/>
          <w:color w:val="000000"/>
          <w:kern w:val="0"/>
          <w:sz w:val="36"/>
          <w:szCs w:val="36"/>
          <w:highlight w:val="none"/>
          <w:lang w:val="en-US"/>
        </w:rPr>
        <w:t>“特色工作奖”申请</w:t>
      </w:r>
      <w:r>
        <w:rPr>
          <w:rFonts w:ascii="方正公文小标宋" w:cs="方正公文小标宋" w:eastAsia="方正公文小标宋" w:hAnsi="方正公文小标宋" w:hint="eastAsia"/>
          <w:b w:val="false"/>
          <w:bCs w:val="false"/>
          <w:color w:val="000000"/>
          <w:kern w:val="0"/>
          <w:sz w:val="36"/>
          <w:szCs w:val="36"/>
          <w:highlight w:val="none"/>
        </w:rPr>
        <w:t>表</w:t>
      </w:r>
    </w:p>
    <w:tbl>
      <w:tblPr>
        <w:tblStyle w:val="style105"/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46"/>
        <w:gridCol w:w="1431"/>
        <w:gridCol w:w="766"/>
        <w:gridCol w:w="1741"/>
        <w:gridCol w:w="962"/>
        <w:gridCol w:w="2555"/>
        <w:gridCol w:w="7"/>
      </w:tblGrid>
      <w:tr w14:paraId="2DD77B0D">
        <w:trPr>
          <w:gridAfter w:val="1"/>
          <w:wAfter w:w="7" w:type="dxa"/>
          <w:trHeight w:val="680" w:hRule="atLeast"/>
          <w:jc w:val="center"/>
        </w:trPr>
        <w:tc>
          <w:tcPr>
            <w:tcW w:w="2653" w:type="dxa"/>
            <w:gridSpan w:val="2"/>
            <w:tcBorders/>
            <w:vAlign w:val="center"/>
          </w:tcPr>
          <w:p w14:paraId="66F7FFB1">
            <w:pPr>
              <w:pStyle w:val="style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/>
              </w:rPr>
              <w:t>院系级团委</w:t>
            </w:r>
            <w:r>
              <w:rPr>
                <w:sz w:val="24"/>
                <w:highlight w:val="none"/>
              </w:rPr>
              <w:t>名称</w:t>
            </w:r>
          </w:p>
        </w:tc>
        <w:tc>
          <w:tcPr>
            <w:tcW w:w="7455" w:type="dxa"/>
            <w:gridSpan w:val="5"/>
            <w:tcBorders/>
            <w:vAlign w:val="center"/>
          </w:tcPr>
          <w:p w14:paraId="1ED69DD9">
            <w:pPr>
              <w:pStyle w:val="style0"/>
              <w:jc w:val="center"/>
              <w:rPr>
                <w:sz w:val="24"/>
                <w:highlight w:val="none"/>
              </w:rPr>
            </w:pPr>
          </w:p>
        </w:tc>
      </w:tr>
      <w:tr w14:paraId="03F968FD">
        <w:tblPrEx/>
        <w:trPr>
          <w:gridAfter w:val="1"/>
          <w:wAfter w:w="7" w:type="dxa"/>
          <w:trHeight w:val="680" w:hRule="atLeast"/>
          <w:jc w:val="center"/>
        </w:trPr>
        <w:tc>
          <w:tcPr>
            <w:tcW w:w="2653" w:type="dxa"/>
            <w:gridSpan w:val="2"/>
            <w:tcBorders/>
            <w:vAlign w:val="center"/>
          </w:tcPr>
          <w:p w14:paraId="61F4707C">
            <w:pPr>
              <w:pStyle w:val="style0"/>
              <w:jc w:val="center"/>
              <w:rPr>
                <w:rFonts w:eastAsia="宋体"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/>
              </w:rPr>
              <w:t>团委</w:t>
            </w:r>
            <w:r>
              <w:rPr>
                <w:rFonts w:hint="default"/>
                <w:sz w:val="24"/>
                <w:highlight w:val="none"/>
              </w:rPr>
              <w:t>（</w:t>
            </w:r>
            <w:r>
              <w:rPr>
                <w:rFonts w:hint="eastAsia"/>
                <w:sz w:val="24"/>
                <w:highlight w:val="none"/>
                <w:lang w:val="en-US"/>
              </w:rPr>
              <w:t>团总支</w:t>
            </w:r>
            <w:r>
              <w:rPr>
                <w:rFonts w:hint="default"/>
                <w:sz w:val="24"/>
                <w:highlight w:val="none"/>
              </w:rPr>
              <w:t>）</w:t>
            </w:r>
            <w:r>
              <w:rPr>
                <w:rFonts w:hint="eastAsia"/>
                <w:sz w:val="24"/>
                <w:highlight w:val="none"/>
                <w:lang w:val="en-US"/>
              </w:rPr>
              <w:t>书记</w:t>
            </w:r>
          </w:p>
        </w:tc>
        <w:tc>
          <w:tcPr>
            <w:tcW w:w="1431" w:type="dxa"/>
            <w:tcBorders/>
            <w:vAlign w:val="center"/>
          </w:tcPr>
          <w:p w14:paraId="76E614A5">
            <w:pPr>
              <w:pStyle w:val="style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6" w:type="dxa"/>
            <w:tcBorders/>
            <w:vAlign w:val="center"/>
          </w:tcPr>
          <w:p w14:paraId="733221E3">
            <w:pPr>
              <w:pStyle w:val="style0"/>
              <w:jc w:val="center"/>
              <w:rPr>
                <w:rFonts w:eastAsia="宋体"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/>
              </w:rPr>
              <w:t>团员人数</w:t>
            </w:r>
          </w:p>
        </w:tc>
        <w:tc>
          <w:tcPr>
            <w:tcW w:w="1741" w:type="dxa"/>
            <w:tcBorders/>
            <w:vAlign w:val="center"/>
          </w:tcPr>
          <w:p w14:paraId="5D45F1AD">
            <w:pPr>
              <w:pStyle w:val="style0"/>
              <w:jc w:val="center"/>
              <w:rPr>
                <w:sz w:val="24"/>
                <w:highlight w:val="none"/>
              </w:rPr>
            </w:pPr>
          </w:p>
        </w:tc>
        <w:tc>
          <w:tcPr>
            <w:tcW w:w="962" w:type="dxa"/>
            <w:tcBorders/>
            <w:vAlign w:val="center"/>
          </w:tcPr>
          <w:p w14:paraId="404BFDEF">
            <w:pPr>
              <w:pStyle w:val="style0"/>
              <w:jc w:val="center"/>
              <w:rPr>
                <w:rFonts w:hint="eastAsia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/>
              </w:rPr>
              <w:t>团支部</w:t>
            </w:r>
          </w:p>
          <w:p w14:paraId="1A2820EE">
            <w:pPr>
              <w:pStyle w:val="style0"/>
              <w:jc w:val="center"/>
              <w:rPr>
                <w:rFonts w:eastAsia="宋体"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/>
              </w:rPr>
              <w:t>数量</w:t>
            </w:r>
          </w:p>
        </w:tc>
        <w:tc>
          <w:tcPr>
            <w:tcW w:w="2555" w:type="dxa"/>
            <w:tcBorders/>
            <w:vAlign w:val="center"/>
          </w:tcPr>
          <w:p w14:paraId="33005D4E">
            <w:pPr>
              <w:pStyle w:val="style0"/>
              <w:jc w:val="center"/>
              <w:rPr>
                <w:sz w:val="24"/>
                <w:highlight w:val="none"/>
              </w:rPr>
            </w:pPr>
          </w:p>
        </w:tc>
      </w:tr>
      <w:tr w14:paraId="35B96DF5">
        <w:tblPrEx/>
        <w:trPr>
          <w:gridAfter w:val="1"/>
          <w:wAfter w:w="7" w:type="dxa"/>
          <w:trHeight w:val="680" w:hRule="atLeast"/>
          <w:jc w:val="center"/>
        </w:trPr>
        <w:tc>
          <w:tcPr>
            <w:tcW w:w="2653" w:type="dxa"/>
            <w:gridSpan w:val="2"/>
            <w:tcBorders/>
            <w:vAlign w:val="center"/>
          </w:tcPr>
          <w:p w14:paraId="4B011A2C">
            <w:pPr>
              <w:pStyle w:val="style0"/>
              <w:jc w:val="center"/>
              <w:rPr>
                <w:rFonts w:eastAsia="宋体"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/>
              </w:rPr>
              <w:t>特色工作名称</w:t>
            </w:r>
          </w:p>
        </w:tc>
        <w:tc>
          <w:tcPr>
            <w:tcW w:w="7455" w:type="dxa"/>
            <w:gridSpan w:val="5"/>
            <w:tcBorders/>
            <w:vAlign w:val="center"/>
          </w:tcPr>
          <w:p w14:paraId="7A2C2023">
            <w:pPr>
              <w:pStyle w:val="style0"/>
              <w:jc w:val="center"/>
              <w:rPr>
                <w:sz w:val="24"/>
                <w:highlight w:val="none"/>
              </w:rPr>
            </w:pPr>
          </w:p>
        </w:tc>
      </w:tr>
      <w:tr w14:paraId="369BE480">
        <w:tblPrEx/>
        <w:trPr>
          <w:trHeight w:val="2696" w:hRule="atLeast"/>
          <w:jc w:val="center"/>
        </w:trPr>
        <w:tc>
          <w:tcPr>
            <w:tcW w:w="1107" w:type="dxa"/>
            <w:tcBorders/>
            <w:vAlign w:val="center"/>
          </w:tcPr>
          <w:p w14:paraId="01599898">
            <w:pPr>
              <w:pStyle w:val="style0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特色</w:t>
            </w:r>
          </w:p>
          <w:p w14:paraId="0054874F">
            <w:pPr>
              <w:pStyle w:val="style0"/>
              <w:jc w:val="center"/>
              <w:rPr>
                <w:rFonts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工作</w:t>
            </w:r>
          </w:p>
          <w:p w14:paraId="35BEC252">
            <w:pPr>
              <w:pStyle w:val="style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背景</w:t>
            </w:r>
          </w:p>
        </w:tc>
        <w:tc>
          <w:tcPr>
            <w:tcW w:w="9008" w:type="dxa"/>
            <w:gridSpan w:val="7"/>
            <w:tcBorders/>
          </w:tcPr>
          <w:p w14:paraId="303C876A">
            <w:pPr>
              <w:pStyle w:val="style0"/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</w:rPr>
              <w:t>（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/>
              </w:rPr>
              <w:t>请就特色工作开展的背景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</w:rPr>
              <w:t>、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/>
              </w:rPr>
              <w:t>思路、举措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</w:rPr>
              <w:t>、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/>
              </w:rPr>
              <w:t>成效进行陈述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</w:rPr>
              <w:t>，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/>
              </w:rPr>
              <w:t>总字数控制在</w:t>
            </w:r>
            <w:r>
              <w:rPr>
                <w:rFonts w:ascii="Songti SC Regular" w:cs="Songti SC Regular" w:eastAsia="Songti SC Regular" w:hAnsi="Songti SC Regular" w:hint="default"/>
                <w:b w:val="false"/>
                <w:bCs w:val="false"/>
                <w:highlight w:val="none"/>
              </w:rPr>
              <w:t>2000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/>
              </w:rPr>
              <w:t>字以内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</w:rPr>
              <w:t>，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 w:eastAsia="zh-CN"/>
              </w:rPr>
              <w:t>以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/>
              </w:rPr>
              <w:t>下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 w:eastAsia="zh-CN"/>
              </w:rPr>
              <w:t>以“青春讲师团”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/>
              </w:rPr>
              <w:t>为参考案例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</w:rPr>
              <w:t>）</w:t>
            </w:r>
          </w:p>
          <w:p w14:paraId="76C45A8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 w:eastAsia="zh-CN"/>
              </w:rPr>
              <w:t>自2019年起，学校把握新中国成立70周年、建党百年、北京冬奥会等重要契机，先后成立“服务保障国庆活动”“请党放心，强国有我”“我和我的冬奥故事”等专题宣讲团。2022年5月5日，正值建团百年之际，为进一步整合学校优质青年宣讲资源，用青年故事、青年思考和青年话语宣传阐述习近平新时代中国特色社会主义思想，激励广大青年更加深刻、自觉地用习近平新时代中国特色社会主义思想武装头脑、指导实践，在学校党委的关心指导下，全校共青团组织联合发起成立“北京师范大学青春讲师团”。</w:t>
            </w:r>
          </w:p>
        </w:tc>
      </w:tr>
      <w:tr w14:paraId="1F88E2C5">
        <w:tblPrEx/>
        <w:trPr>
          <w:trHeight w:val="3017" w:hRule="atLeast"/>
          <w:jc w:val="center"/>
        </w:trPr>
        <w:tc>
          <w:tcPr>
            <w:tcW w:w="1107" w:type="dxa"/>
            <w:tcBorders/>
            <w:vAlign w:val="center"/>
          </w:tcPr>
          <w:p w14:paraId="04779B05">
            <w:pPr>
              <w:pStyle w:val="style0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特色</w:t>
            </w:r>
          </w:p>
          <w:p w14:paraId="6DABC465">
            <w:pPr>
              <w:pStyle w:val="style0"/>
              <w:jc w:val="center"/>
              <w:rPr>
                <w:rFonts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工作</w:t>
            </w:r>
          </w:p>
          <w:p w14:paraId="40E1802E">
            <w:pPr>
              <w:pStyle w:val="style0"/>
              <w:jc w:val="center"/>
              <w:rPr>
                <w:rFonts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思路</w:t>
            </w:r>
          </w:p>
        </w:tc>
        <w:tc>
          <w:tcPr>
            <w:tcW w:w="9008" w:type="dxa"/>
            <w:gridSpan w:val="7"/>
            <w:tcBorders/>
          </w:tcPr>
          <w:p w14:paraId="41AA8DB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2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</w:pP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围绕办学定位，探索构建讲师培育新平台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  <w:t>。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建立“校内+校外”专家联动育人体系，聘请校内外理论专家、知名学者、资深演讲家等组成专家顾问团队，发挥讲师团建设智库作用，深度参与讲师培养方案制定和培训课程研制，为青春讲师的理论素养、宣讲技能、专题宣讲知识等方面提供专业指导。开展常态化理论学习，修炼内功，强基固本。设计宣讲反馈问卷，根据受众反馈及时查找不足，激发理论学习的内生动力，实现“学”与“讲”的双向互动和闭环反馈，努力形成“学以致讲-以讲促学-讲学相长”三效合一浸润教育。注重在实践中感悟伟大成就、汲取精神伟力，选拔优秀讲师赴延安、阜平、沧州等地开展研学活动，推动构建“价值塑造-能力培养-知识传授-实践训练”四位一体的讲师培养体系。</w:t>
            </w:r>
          </w:p>
          <w:p w14:paraId="34FA316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2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发挥朋辈力量，建强思政工作后备军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 w:eastAsia="zh-CN"/>
              </w:rPr>
              <w:t>。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坚持胸怀大局、着眼大事，把握建党百年、建团百年、建校120周年等重要契机，成立专题宣讲突击队，原创打造“请党放心，强国有我”“我和我的冬奥故事”“中国梦·强师行”“增强团员意识，争做‘四有’标识鲜明的一流学生”等专题宣讲，积极回应时代之问和青年之需，发挥朋辈教育功能，实现育人与育己有机结合。以赛促讲，组织举办“这十年·青年讲”“京师风范、强国有我”校内宣讲比赛，致广大而尽精微，用青年话语解读党的创新理论、领学习近平总书记的谆谆教诲，发挥团员模范作用，激励北师大青年和附校学子，赓续红色血脉，强壮精神素养，以“自找苦吃”的精气神刻苦学习、砥砺奋进。努力打通基层理论宣讲“最后一公里”，创新采用“点单派单”+“挂职副站长”模式，精准高效对接北京西城区、石景山区等多个街道，传递思想引领炬火，推动党的创新理论“飞入寻常百姓家”。</w:t>
            </w:r>
          </w:p>
          <w:p w14:paraId="4D43D0E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2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</w:pP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拓宽育人路径，助力“大中小学思政课一体化”建设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 w:eastAsia="zh-CN"/>
              </w:rPr>
              <w:t>。</w:t>
            </w:r>
            <w:r>
              <w:rPr>
                <w:rFonts w:ascii="Songti SC Regular" w:cs="Songti SC Regular" w:eastAsia="Songti SC Regular" w:hAnsi="Songti SC Regular" w:hint="eastAsia"/>
                <w:b w:val="false"/>
                <w:bCs w:val="false"/>
                <w:highlight w:val="none"/>
                <w:lang w:val="en-US" w:eastAsia="zh-CN"/>
              </w:rPr>
              <w:t>整合育人资源，拓宽育人路径，结合中小学生思想动态和认知水平，精心遴选主题，安排讲师分批前往北师大各附属学校、北师大研支团支教帮扶地、北京市京源学校等开展志愿宣讲，根据中小学生特点和规律因材施教，打造更有亲和力、更具针对性的青春宣讲，深受中小学生欢迎。注重“授人以渔”，推广办团经验，组建“京起浙江潮”实践队指导北京师范大学台州实验学校成立了该校的中学生宣讲团，紧扣思政教材、结合学生经历，打磨出8个精品课程并赴周边社区进行宣讲，探索可复制、可移植的中小学宣讲团筹建方案，构建育人共同体，助力“大中小学思政课一体化”建设。</w:t>
            </w:r>
          </w:p>
        </w:tc>
      </w:tr>
      <w:tr w14:paraId="60B60CE0">
        <w:tblPrEx/>
        <w:trPr>
          <w:trHeight w:val="3295" w:hRule="atLeast"/>
          <w:jc w:val="center"/>
        </w:trPr>
        <w:tc>
          <w:tcPr>
            <w:tcW w:w="1107" w:type="dxa"/>
            <w:tcBorders/>
            <w:vAlign w:val="center"/>
          </w:tcPr>
          <w:p w14:paraId="7E26D12D">
            <w:pPr>
              <w:pStyle w:val="style0"/>
              <w:jc w:val="center"/>
              <w:rPr>
                <w:rFonts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特色</w:t>
            </w:r>
          </w:p>
          <w:p w14:paraId="082DA38C">
            <w:pPr>
              <w:pStyle w:val="style0"/>
              <w:jc w:val="center"/>
              <w:rPr>
                <w:rFonts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工作</w:t>
            </w:r>
          </w:p>
          <w:p w14:paraId="45A72A92">
            <w:pPr>
              <w:pStyle w:val="style0"/>
              <w:jc w:val="center"/>
              <w:rPr>
                <w:rFonts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举措</w:t>
            </w:r>
          </w:p>
          <w:p w14:paraId="343BA60F">
            <w:pPr>
              <w:pStyle w:val="style0"/>
              <w:jc w:val="center"/>
              <w:rPr>
                <w:rFonts w:hint="default"/>
                <w:bCs/>
                <w:sz w:val="24"/>
                <w:highlight w:val="none"/>
              </w:rPr>
            </w:pPr>
            <w:r>
              <w:rPr>
                <w:rFonts w:hint="default"/>
                <w:bCs/>
                <w:sz w:val="24"/>
                <w:highlight w:val="none"/>
              </w:rPr>
              <w:t>（</w:t>
            </w:r>
            <w:r>
              <w:rPr>
                <w:rFonts w:hint="eastAsia"/>
                <w:bCs/>
                <w:sz w:val="24"/>
                <w:highlight w:val="none"/>
                <w:lang w:val="en-US"/>
              </w:rPr>
              <w:t>队伍</w:t>
            </w:r>
            <w:r>
              <w:rPr>
                <w:rFonts w:hint="default"/>
                <w:bCs/>
                <w:sz w:val="24"/>
                <w:highlight w:val="none"/>
              </w:rPr>
              <w:t>、</w:t>
            </w:r>
          </w:p>
          <w:p w14:paraId="51228426">
            <w:pPr>
              <w:pStyle w:val="style0"/>
              <w:jc w:val="center"/>
              <w:rPr>
                <w:rFonts w:hint="default"/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平台</w:t>
            </w:r>
            <w:r>
              <w:rPr>
                <w:rFonts w:hint="default"/>
                <w:bCs/>
                <w:sz w:val="24"/>
                <w:highlight w:val="none"/>
              </w:rPr>
              <w:t>、</w:t>
            </w:r>
          </w:p>
          <w:p w14:paraId="5722CAF9">
            <w:pPr>
              <w:pStyle w:val="style0"/>
              <w:jc w:val="center"/>
              <w:rPr>
                <w:rFonts w:eastAsia="宋体"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机制等</w:t>
            </w:r>
            <w:r>
              <w:rPr>
                <w:rFonts w:hint="default"/>
                <w:bCs/>
                <w:sz w:val="24"/>
                <w:highlight w:val="none"/>
              </w:rPr>
              <w:t>）</w:t>
            </w:r>
          </w:p>
        </w:tc>
        <w:tc>
          <w:tcPr>
            <w:tcW w:w="9008" w:type="dxa"/>
            <w:gridSpan w:val="7"/>
            <w:tcBorders/>
          </w:tcPr>
          <w:p w14:paraId="1F88815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2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</w:pPr>
            <w:r>
              <w:rPr>
                <w:rFonts w:ascii="Songti SC Regular" w:cs="Songti SC Regular" w:eastAsia="Songti SC Regular" w:hAnsi="Songti SC Regular" w:hint="default"/>
                <w:b/>
                <w:bCs/>
                <w:highlight w:val="none"/>
              </w:rPr>
              <w:t>1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.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  <w:t xml:space="preserve"> 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组织架构</w:t>
            </w:r>
          </w:p>
          <w:p w14:paraId="1B337E8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青春讲师团设有团长团负责日常工作，各团长分管办公室、宣传部、课程部和培训部等总团职能部门，联系院系分团。</w:t>
            </w:r>
          </w:p>
          <w:p w14:paraId="68E943A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2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default"/>
                <w:b/>
                <w:bCs/>
                <w:highlight w:val="none"/>
              </w:rPr>
              <w:t>2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.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  <w:t xml:space="preserve"> 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专家及平台支持</w:t>
            </w:r>
          </w:p>
          <w:p w14:paraId="7BD7C38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（1）青春讲师团聘请校内外理论专家、知名学者、资深演讲家等担任专家顾问团队，对全体讲师（及申请人）的政治理论、宣讲技能、内容打磨等方面进行指导。</w:t>
            </w:r>
          </w:p>
          <w:p w14:paraId="27D287A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（2）青春讲师团邀请专业团队对成熟的精品课程录制成视频课，依托“青春北师”等校级官方线上平台予以宣传推广，切实维护青春讲师团和全体青春讲师的智慧版权。</w:t>
            </w:r>
          </w:p>
          <w:p w14:paraId="738A5A8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2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  <w:t>3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.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  <w:t xml:space="preserve"> 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培训提升机制</w:t>
            </w:r>
          </w:p>
          <w:p w14:paraId="304111D2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default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理论素养方面，组织理论学习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，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邀请专家学者对理论难点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、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时政热点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、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党史团史校史等内容进行解读授课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；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讲师团成员以小组为单位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，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开展理论书籍阅读研讨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，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扎实理论基础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。</w:t>
            </w:r>
          </w:p>
          <w:p w14:paraId="1D8EF6E8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宣讲技能方面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，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邀请经验丰富的专家和宣讲员在语言和肢体表达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、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PPT制作等方面进行讲座分享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；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开展实践试讲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，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通过小组和团内试讲点评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、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集体磨课等环节提升宣讲效果</w:t>
            </w:r>
            <w:r>
              <w:rPr>
                <w:rFonts w:ascii="Songti SC Regular" w:cs="Songti SC Regular" w:eastAsia="Songti SC Regular" w:hAnsi="Songti SC Regular" w:hint="default"/>
                <w:highlight w:val="none"/>
              </w:rPr>
              <w:t>。</w:t>
            </w:r>
          </w:p>
          <w:p w14:paraId="5A590DC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2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</w:pPr>
            <w:r>
              <w:rPr>
                <w:rFonts w:ascii="Songti SC Regular" w:cs="Songti SC Regular" w:eastAsia="Songti SC Regular" w:hAnsi="Songti SC Regular" w:hint="default"/>
                <w:b/>
                <w:bCs/>
                <w:highlight w:val="none"/>
              </w:rPr>
              <w:t>4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.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  <w:t xml:space="preserve"> 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</w:rPr>
              <w:t>保障激励</w:t>
            </w:r>
            <w:r>
              <w:rPr>
                <w:rFonts w:ascii="Songti SC Regular" w:cs="Songti SC Regular" w:eastAsia="Songti SC Regular" w:hAnsi="Songti SC Regular" w:hint="eastAsia"/>
                <w:b/>
                <w:bCs/>
                <w:highlight w:val="none"/>
                <w:lang w:val="en-US"/>
              </w:rPr>
              <w:t>举措</w:t>
            </w:r>
          </w:p>
          <w:p w14:paraId="7C28EC7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（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 w:eastAsia="zh-CN"/>
              </w:rPr>
              <w:t>1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）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青春讲师团采用"申请报名﹣系统培训﹣学年考核"的三阶段选拔方式，对通过考核的申请人颁发专属聘书。</w:t>
            </w:r>
          </w:p>
          <w:p w14:paraId="66534C2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（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 w:eastAsia="zh-CN"/>
              </w:rPr>
              <w:t>2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）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青春讲师团所有讲师聘期1年，根据工作表现参与"金牌讲师"及"优秀个人"评选，特别优秀者将推荐参评其他校级及以上荣誉，以及推荐至上级部门组织的青年宣讲类比赛。</w:t>
            </w:r>
          </w:p>
          <w:p w14:paraId="1E867A2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（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 w:eastAsia="zh-CN"/>
              </w:rPr>
              <w:t>3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）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青春讲师团邀请专业团队为成熟的精品课程录制成视频，依托"青春北师"等校级官方线上平台予以宣传推广，切实维护青春讲师团和全体讲师的智慧版权。</w:t>
            </w:r>
          </w:p>
          <w:p w14:paraId="45A7A6A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（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 w:eastAsia="zh-CN"/>
              </w:rPr>
              <w:t>4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）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讲师参与相关工作，青春讲师团会按照实际有效参与情况，在"志愿北京"平台进行志愿服务时长认定和录入。</w:t>
            </w:r>
          </w:p>
          <w:p w14:paraId="01B9D21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（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 w:eastAsia="zh-CN"/>
              </w:rPr>
              <w:t>5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）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青春讲师团讲师在申请参加校团委组织的各类政务实习、社会实践、志愿服务、重大活动服务保障等工作中，同等条件下可适当优先。</w:t>
            </w:r>
          </w:p>
          <w:p w14:paraId="1304C56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（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 w:eastAsia="zh-CN"/>
              </w:rPr>
              <w:t>6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eastAsia="zh-CN"/>
              </w:rPr>
              <w:t>）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</w:rPr>
              <w:t>青春讲师团所有讲师任职满一年，均有资格申请竞聘部门负责人，在总团职能部门承担事务性工作并打造个人原创性课程者优先考虑。</w:t>
            </w:r>
          </w:p>
        </w:tc>
      </w:tr>
      <w:tr w14:paraId="49A440F5">
        <w:tblPrEx/>
        <w:trPr>
          <w:trHeight w:val="2493" w:hRule="atLeast"/>
          <w:jc w:val="center"/>
        </w:trPr>
        <w:tc>
          <w:tcPr>
            <w:tcW w:w="1107" w:type="dxa"/>
            <w:tcBorders/>
            <w:vAlign w:val="center"/>
          </w:tcPr>
          <w:p w14:paraId="51AE1974">
            <w:pPr>
              <w:pStyle w:val="style0"/>
              <w:jc w:val="center"/>
              <w:rPr>
                <w:rFonts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特色</w:t>
            </w:r>
          </w:p>
          <w:p w14:paraId="1E847CE2">
            <w:pPr>
              <w:pStyle w:val="style0"/>
              <w:jc w:val="center"/>
              <w:rPr>
                <w:rFonts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工作</w:t>
            </w:r>
          </w:p>
          <w:p w14:paraId="4182AC33">
            <w:pPr>
              <w:pStyle w:val="style0"/>
              <w:jc w:val="center"/>
              <w:rPr>
                <w:rFonts w:hint="eastAsia"/>
                <w:bCs/>
                <w:sz w:val="24"/>
                <w:highlight w:val="none"/>
                <w:lang w:val="en-US"/>
              </w:rPr>
            </w:pPr>
            <w:r>
              <w:rPr>
                <w:rFonts w:hint="eastAsia"/>
                <w:bCs/>
                <w:sz w:val="24"/>
                <w:highlight w:val="none"/>
                <w:lang w:val="en-US"/>
              </w:rPr>
              <w:t>成效</w:t>
            </w:r>
          </w:p>
        </w:tc>
        <w:tc>
          <w:tcPr>
            <w:tcW w:w="9008" w:type="dxa"/>
            <w:gridSpan w:val="7"/>
            <w:tcBorders/>
          </w:tcPr>
          <w:p w14:paraId="66A30A9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leftChars="0" w:right="0" w:rightChars="0" w:firstLine="420" w:firstLineChars="200"/>
              <w:jc w:val="both"/>
              <w:textAlignment w:val="auto"/>
              <w:rPr>
                <w:rFonts w:ascii="Songti SC Regular" w:cs="Songti SC Regular" w:eastAsia="Songti SC Regular" w:hAnsi="Songti SC Regular" w:hint="eastAsia"/>
                <w:highlight w:val="none"/>
                <w:lang w:val="en-US" w:eastAsia="zh-CN"/>
              </w:rPr>
            </w:pP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 w:eastAsia="zh-CN"/>
              </w:rPr>
              <w:t>截止2025年9月，青春讲师团已</w:t>
            </w:r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原创打造10余个专题超百门宣讲，累计开展宣讲1000余场，覆盖43万余人次，“我和我的冬奥故事”青春宣讲团获评“北京市青年突击队”，青春讲师团获评北京市2023年度团建百强项目，入选《人民网》2023年高校思政</w:t>
            </w:r>
            <w:bookmarkStart w:id="0" w:name="_GoBack"/>
            <w:bookmarkEnd w:id="0"/>
            <w:r>
              <w:rPr>
                <w:rFonts w:ascii="Songti SC Regular" w:cs="Songti SC Regular" w:eastAsia="Songti SC Regular" w:hAnsi="Songti SC Regular" w:hint="eastAsia"/>
                <w:highlight w:val="none"/>
                <w:lang w:val="en-US"/>
              </w:rPr>
              <w:t>课改革创新典型案例。</w:t>
            </w:r>
          </w:p>
        </w:tc>
      </w:tr>
    </w:tbl>
    <w:p w14:paraId="5226AEB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leftChars="0" w:right="0" w:rightChars="0" w:firstLine="420" w:firstLineChars="200"/>
        <w:jc w:val="both"/>
        <w:textAlignment w:val="auto"/>
        <w:outlineLvl w:val="9"/>
        <w:rPr/>
      </w:pPr>
      <w:r>
        <w:rPr>
          <w:rFonts w:ascii="Songti SC Regular" w:cs="Songti SC Regular" w:eastAsia="Songti SC Regular" w:hAnsi="Songti SC Regular" w:hint="eastAsia"/>
          <w:b w:val="false"/>
          <w:bCs w:val="false"/>
          <w:highlight w:val="none"/>
          <w:lang w:val="en-US"/>
        </w:rPr>
        <w:t>附</w:t>
      </w:r>
      <w:r>
        <w:rPr>
          <w:rFonts w:ascii="Songti SC Regular" w:cs="Songti SC Regular" w:eastAsia="Songti SC Regular" w:hAnsi="Songti SC Regular" w:hint="eastAsia"/>
          <w:b w:val="false"/>
          <w:bCs w:val="false"/>
          <w:highlight w:val="none"/>
        </w:rPr>
        <w:t>：</w:t>
      </w:r>
      <w:r>
        <w:rPr>
          <w:rFonts w:ascii="Songti SC Regular" w:cs="Songti SC Regular" w:eastAsia="Songti SC Regular" w:hAnsi="Songti SC Regular" w:hint="eastAsia"/>
          <w:b w:val="false"/>
          <w:bCs w:val="false"/>
          <w:highlight w:val="none"/>
          <w:lang w:val="en-US"/>
        </w:rPr>
        <w:t>各类活动图片及证明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ongti SC Regular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36A3F80"/>
    <w:lvl w:ilvl="0">
      <w:start w:val="1"/>
      <w:numFmt w:val="decimal"/>
      <w:suff w:val="nothing"/>
      <w:lvlText w:val="（%1）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1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Words>2231</Words>
  <Pages>2</Pages>
  <Characters>2271</Characters>
  <Application>WPS Office</Application>
  <DocSecurity>0</DocSecurity>
  <Paragraphs>57</Paragraphs>
  <ScaleCrop>false</ScaleCrop>
  <LinksUpToDate>false</LinksUpToDate>
  <CharactersWithSpaces>2275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2022-11-08T13:37:00Z</dcterms:created>
  <dc:creator>xinyuli</dc:creator>
  <lastModifiedBy>DCO-AL00</lastModifiedBy>
  <dcterms:modified xsi:type="dcterms:W3CDTF">2025-10-15T08:17:58Z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e7097bb5cb2f440f896b6d79f4f6169a_23</vt:lpwstr>
  </property>
  <property fmtid="{D5CDD505-2E9C-101B-9397-08002B2CF9AE}" pid="4" name="KSOTemplateDocerSaveRecord">
    <vt:lpwstr>eyJoZGlkIjoiY2Q1Nzg4ZTE1YTZiNzU4YmRkYzhlNDI5MzJhZWFmMTkiLCJ1c2VySWQiOiI2MzkxMDczMDkifQ==</vt:lpwstr>
  </property>
</Properties>
</file>