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2DD627">
      <w:pPr>
        <w:widowControl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kern w:val="0"/>
          <w:sz w:val="36"/>
          <w:szCs w:val="36"/>
          <w:highlight w:val="none"/>
          <w:lang w:val="en-US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kern w:val="0"/>
          <w:sz w:val="36"/>
          <w:szCs w:val="36"/>
          <w:highlight w:val="none"/>
        </w:rPr>
        <w:t>北京师范大学202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kern w:val="0"/>
          <w:sz w:val="36"/>
          <w:szCs w:val="36"/>
          <w:highlight w:val="none"/>
          <w:lang w:val="en-US" w:eastAsia="zh-CN"/>
        </w:rPr>
        <w:t>5—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kern w:val="0"/>
          <w:sz w:val="36"/>
          <w:szCs w:val="36"/>
          <w:highlight w:val="none"/>
        </w:rPr>
        <w:t>202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kern w:val="0"/>
          <w:sz w:val="36"/>
          <w:szCs w:val="36"/>
          <w:highlight w:val="none"/>
          <w:lang w:val="en-US" w:eastAsia="zh-CN"/>
        </w:rPr>
        <w:t>6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kern w:val="0"/>
          <w:sz w:val="36"/>
          <w:szCs w:val="36"/>
          <w:highlight w:val="none"/>
          <w:lang w:val="en-US"/>
        </w:rPr>
        <w:t>学年院系级团委</w:t>
      </w:r>
    </w:p>
    <w:p w14:paraId="1D128E79">
      <w:pPr>
        <w:widowControl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kern w:val="0"/>
          <w:sz w:val="36"/>
          <w:szCs w:val="36"/>
          <w:highlight w:val="none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kern w:val="0"/>
          <w:sz w:val="36"/>
          <w:szCs w:val="36"/>
          <w:highlight w:val="none"/>
          <w:lang w:val="en-US"/>
        </w:rPr>
        <w:t>“特色工作奖”申请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/>
          <w:kern w:val="0"/>
          <w:sz w:val="36"/>
          <w:szCs w:val="36"/>
          <w:highlight w:val="none"/>
        </w:rPr>
        <w:t>表</w:t>
      </w:r>
    </w:p>
    <w:tbl>
      <w:tblPr>
        <w:tblStyle w:val="2"/>
        <w:tblW w:w="101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7"/>
        <w:gridCol w:w="1546"/>
        <w:gridCol w:w="1431"/>
        <w:gridCol w:w="766"/>
        <w:gridCol w:w="1741"/>
        <w:gridCol w:w="962"/>
        <w:gridCol w:w="2555"/>
        <w:gridCol w:w="7"/>
      </w:tblGrid>
      <w:tr w14:paraId="2DD77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680" w:hRule="atLeast"/>
          <w:jc w:val="center"/>
        </w:trPr>
        <w:tc>
          <w:tcPr>
            <w:tcW w:w="2653" w:type="dxa"/>
            <w:gridSpan w:val="2"/>
            <w:vAlign w:val="center"/>
          </w:tcPr>
          <w:p w14:paraId="66F7FFB1">
            <w:pPr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  <w:lang w:val="en-US"/>
              </w:rPr>
              <w:t>院系级团委</w:t>
            </w:r>
            <w:r>
              <w:rPr>
                <w:sz w:val="24"/>
                <w:highlight w:val="none"/>
              </w:rPr>
              <w:t>名称</w:t>
            </w:r>
          </w:p>
        </w:tc>
        <w:tc>
          <w:tcPr>
            <w:tcW w:w="7455" w:type="dxa"/>
            <w:gridSpan w:val="5"/>
            <w:vAlign w:val="center"/>
          </w:tcPr>
          <w:p w14:paraId="1ED69DD9">
            <w:pPr>
              <w:jc w:val="center"/>
              <w:rPr>
                <w:sz w:val="24"/>
                <w:highlight w:val="none"/>
              </w:rPr>
            </w:pPr>
          </w:p>
        </w:tc>
      </w:tr>
      <w:tr w14:paraId="03F96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680" w:hRule="atLeast"/>
          <w:jc w:val="center"/>
        </w:trPr>
        <w:tc>
          <w:tcPr>
            <w:tcW w:w="2653" w:type="dxa"/>
            <w:gridSpan w:val="2"/>
            <w:vAlign w:val="center"/>
          </w:tcPr>
          <w:p w14:paraId="61F4707C">
            <w:pPr>
              <w:jc w:val="center"/>
              <w:rPr>
                <w:rFonts w:hint="eastAsia" w:eastAsia="宋体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  <w:lang w:val="en-US"/>
              </w:rPr>
              <w:t>团委书记</w:t>
            </w:r>
          </w:p>
        </w:tc>
        <w:tc>
          <w:tcPr>
            <w:tcW w:w="1431" w:type="dxa"/>
            <w:vAlign w:val="center"/>
          </w:tcPr>
          <w:p w14:paraId="76E614A5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766" w:type="dxa"/>
            <w:vAlign w:val="center"/>
          </w:tcPr>
          <w:p w14:paraId="733221E3">
            <w:pPr>
              <w:jc w:val="center"/>
              <w:rPr>
                <w:rFonts w:hint="eastAsia" w:eastAsia="宋体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  <w:lang w:val="en-US"/>
              </w:rPr>
              <w:t>团员人数</w:t>
            </w:r>
          </w:p>
        </w:tc>
        <w:tc>
          <w:tcPr>
            <w:tcW w:w="1741" w:type="dxa"/>
            <w:vAlign w:val="center"/>
          </w:tcPr>
          <w:p w14:paraId="5D45F1AD">
            <w:pPr>
              <w:jc w:val="center"/>
              <w:rPr>
                <w:sz w:val="24"/>
                <w:highlight w:val="none"/>
              </w:rPr>
            </w:pPr>
          </w:p>
        </w:tc>
        <w:tc>
          <w:tcPr>
            <w:tcW w:w="962" w:type="dxa"/>
            <w:vAlign w:val="center"/>
          </w:tcPr>
          <w:p w14:paraId="404BFDEF">
            <w:pPr>
              <w:jc w:val="center"/>
              <w:rPr>
                <w:rFonts w:hint="eastAsia"/>
                <w:sz w:val="24"/>
                <w:highlight w:val="none"/>
                <w:lang w:val="en-US"/>
              </w:rPr>
            </w:pPr>
            <w:r>
              <w:rPr>
                <w:rFonts w:hint="eastAsia"/>
                <w:sz w:val="24"/>
                <w:highlight w:val="none"/>
                <w:lang w:val="en-US"/>
              </w:rPr>
              <w:t>团支部</w:t>
            </w:r>
          </w:p>
          <w:p w14:paraId="1A2820EE">
            <w:pPr>
              <w:jc w:val="center"/>
              <w:rPr>
                <w:rFonts w:hint="eastAsia" w:eastAsia="宋体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  <w:lang w:val="en-US"/>
              </w:rPr>
              <w:t>数量</w:t>
            </w:r>
          </w:p>
        </w:tc>
        <w:tc>
          <w:tcPr>
            <w:tcW w:w="2555" w:type="dxa"/>
            <w:vAlign w:val="center"/>
          </w:tcPr>
          <w:p w14:paraId="33005D4E">
            <w:pPr>
              <w:jc w:val="center"/>
              <w:rPr>
                <w:sz w:val="24"/>
                <w:highlight w:val="none"/>
              </w:rPr>
            </w:pPr>
          </w:p>
        </w:tc>
      </w:tr>
      <w:tr w14:paraId="35B96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680" w:hRule="atLeast"/>
          <w:jc w:val="center"/>
        </w:trPr>
        <w:tc>
          <w:tcPr>
            <w:tcW w:w="2653" w:type="dxa"/>
            <w:gridSpan w:val="2"/>
            <w:vAlign w:val="center"/>
          </w:tcPr>
          <w:p w14:paraId="4B011A2C">
            <w:pPr>
              <w:jc w:val="center"/>
              <w:rPr>
                <w:rFonts w:hint="eastAsia" w:eastAsia="宋体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  <w:lang w:val="en-US"/>
              </w:rPr>
              <w:t>特色工作名称</w:t>
            </w:r>
          </w:p>
        </w:tc>
        <w:tc>
          <w:tcPr>
            <w:tcW w:w="7455" w:type="dxa"/>
            <w:gridSpan w:val="5"/>
            <w:vAlign w:val="center"/>
          </w:tcPr>
          <w:p w14:paraId="7A2C2023">
            <w:pPr>
              <w:jc w:val="center"/>
              <w:rPr>
                <w:sz w:val="24"/>
                <w:highlight w:val="none"/>
              </w:rPr>
            </w:pPr>
          </w:p>
        </w:tc>
      </w:tr>
      <w:tr w14:paraId="0A505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680" w:hRule="atLeast"/>
          <w:jc w:val="center"/>
        </w:trPr>
        <w:tc>
          <w:tcPr>
            <w:tcW w:w="2653" w:type="dxa"/>
            <w:gridSpan w:val="2"/>
            <w:vAlign w:val="center"/>
          </w:tcPr>
          <w:p w14:paraId="77F751F4">
            <w:pPr>
              <w:jc w:val="center"/>
              <w:rPr>
                <w:rFonts w:hint="eastAsia"/>
                <w:sz w:val="24"/>
                <w:highlight w:val="none"/>
                <w:lang w:val="en-US"/>
              </w:rPr>
            </w:pPr>
            <w:r>
              <w:rPr>
                <w:rFonts w:hint="eastAsia"/>
                <w:sz w:val="24"/>
                <w:highlight w:val="none"/>
                <w:lang w:val="en-US"/>
              </w:rPr>
              <w:t>过去三年已获得该奖项情况及案例名称</w:t>
            </w:r>
          </w:p>
        </w:tc>
        <w:tc>
          <w:tcPr>
            <w:tcW w:w="7455" w:type="dxa"/>
            <w:gridSpan w:val="5"/>
            <w:vAlign w:val="center"/>
          </w:tcPr>
          <w:p w14:paraId="202AD5FC">
            <w:pPr>
              <w:jc w:val="both"/>
              <w:rPr>
                <w:rFonts w:hint="eastAsia" w:ascii="Songti SC Regular" w:hAnsi="Songti SC Regular" w:eastAsia="Songti SC Regular" w:cs="Songti SC Regular"/>
                <w:highlight w:val="none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highlight w:val="none"/>
                <w:lang w:val="en-US" w:eastAsia="zh-CN"/>
              </w:rPr>
              <w:t>示例：</w:t>
            </w:r>
          </w:p>
          <w:p w14:paraId="312C043A">
            <w:pPr>
              <w:jc w:val="both"/>
              <w:rPr>
                <w:rFonts w:hint="eastAsia" w:ascii="Songti SC Regular" w:hAnsi="Songti SC Regular" w:eastAsia="Songti SC Regular" w:cs="Songti SC Regular"/>
                <w:highlight w:val="none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highlight w:val="none"/>
                <w:lang w:val="en-US" w:eastAsia="zh-CN"/>
              </w:rPr>
              <w:t>1.2025年，“请党放心，强国有我”专题宣讲项目，获评特色工作奖</w:t>
            </w:r>
          </w:p>
          <w:p w14:paraId="0782DD6A">
            <w:pPr>
              <w:jc w:val="both"/>
              <w:rPr>
                <w:rFonts w:hint="default" w:ascii="Songti SC Regular" w:hAnsi="Songti SC Regular" w:eastAsia="Songti SC Regular" w:cs="Songti SC Regular"/>
                <w:highlight w:val="none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highlight w:val="none"/>
                <w:lang w:val="en-US" w:eastAsia="zh-CN"/>
              </w:rPr>
              <w:t>2.2023年，“我和我的冬奥故事”巡讲项目，获评特色工作奖</w:t>
            </w:r>
          </w:p>
        </w:tc>
      </w:tr>
      <w:tr w14:paraId="369BE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6" w:hRule="atLeast"/>
          <w:jc w:val="center"/>
        </w:trPr>
        <w:tc>
          <w:tcPr>
            <w:tcW w:w="1107" w:type="dxa"/>
            <w:vAlign w:val="center"/>
          </w:tcPr>
          <w:p w14:paraId="01599898">
            <w:pPr>
              <w:jc w:val="center"/>
              <w:rPr>
                <w:bCs/>
                <w:sz w:val="24"/>
                <w:highlight w:val="none"/>
              </w:rPr>
            </w:pPr>
            <w:r>
              <w:rPr>
                <w:bCs/>
                <w:sz w:val="24"/>
                <w:highlight w:val="none"/>
              </w:rPr>
              <w:t>特色</w:t>
            </w:r>
          </w:p>
          <w:p w14:paraId="0054874F">
            <w:pPr>
              <w:jc w:val="center"/>
              <w:rPr>
                <w:rFonts w:hint="eastAsia"/>
                <w:bCs/>
                <w:sz w:val="24"/>
                <w:highlight w:val="none"/>
                <w:lang w:val="en-US"/>
              </w:rPr>
            </w:pPr>
            <w:r>
              <w:rPr>
                <w:rFonts w:hint="eastAsia"/>
                <w:bCs/>
                <w:sz w:val="24"/>
                <w:highlight w:val="none"/>
                <w:lang w:val="en-US"/>
              </w:rPr>
              <w:t>工作</w:t>
            </w:r>
          </w:p>
          <w:p w14:paraId="35BEC252">
            <w:pPr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bCs/>
                <w:sz w:val="24"/>
                <w:highlight w:val="none"/>
                <w:lang w:val="en-US"/>
              </w:rPr>
              <w:t>背景</w:t>
            </w:r>
          </w:p>
        </w:tc>
        <w:tc>
          <w:tcPr>
            <w:tcW w:w="9008" w:type="dxa"/>
            <w:gridSpan w:val="7"/>
          </w:tcPr>
          <w:p w14:paraId="303C876A">
            <w:pPr>
              <w:rPr>
                <w:rFonts w:hint="eastAsia" w:ascii="Songti SC Regular" w:hAnsi="Songti SC Regular" w:eastAsia="Songti SC Regular" w:cs="Songti SC Regular"/>
                <w:b w:val="0"/>
                <w:bCs w:val="0"/>
                <w:highlight w:val="none"/>
              </w:rPr>
            </w:pPr>
            <w:r>
              <w:rPr>
                <w:rFonts w:hint="eastAsia" w:ascii="Songti SC Regular" w:hAnsi="Songti SC Regular" w:eastAsia="Songti SC Regular" w:cs="Songti SC Regular"/>
                <w:b w:val="0"/>
                <w:bCs w:val="0"/>
                <w:highlight w:val="none"/>
              </w:rPr>
              <w:t>（</w:t>
            </w:r>
            <w:r>
              <w:rPr>
                <w:rFonts w:hint="eastAsia" w:ascii="Songti SC Regular" w:hAnsi="Songti SC Regular" w:eastAsia="Songti SC Regular" w:cs="Songti SC Regular"/>
                <w:b w:val="0"/>
                <w:bCs w:val="0"/>
                <w:highlight w:val="none"/>
                <w:lang w:val="en-US"/>
              </w:rPr>
              <w:t>请就特色工作开展的背景</w:t>
            </w:r>
            <w:r>
              <w:rPr>
                <w:rFonts w:hint="eastAsia" w:ascii="Songti SC Regular" w:hAnsi="Songti SC Regular" w:eastAsia="Songti SC Regular" w:cs="Songti SC Regular"/>
                <w:b w:val="0"/>
                <w:bCs w:val="0"/>
                <w:highlight w:val="none"/>
              </w:rPr>
              <w:t>、</w:t>
            </w:r>
            <w:r>
              <w:rPr>
                <w:rFonts w:hint="eastAsia" w:ascii="Songti SC Regular" w:hAnsi="Songti SC Regular" w:eastAsia="Songti SC Regular" w:cs="Songti SC Regular"/>
                <w:b w:val="0"/>
                <w:bCs w:val="0"/>
                <w:highlight w:val="none"/>
                <w:lang w:val="en-US"/>
              </w:rPr>
              <w:t>思路、举措</w:t>
            </w:r>
            <w:r>
              <w:rPr>
                <w:rFonts w:hint="eastAsia" w:ascii="Songti SC Regular" w:hAnsi="Songti SC Regular" w:eastAsia="Songti SC Regular" w:cs="Songti SC Regular"/>
                <w:b w:val="0"/>
                <w:bCs w:val="0"/>
                <w:highlight w:val="none"/>
              </w:rPr>
              <w:t>、</w:t>
            </w:r>
            <w:r>
              <w:rPr>
                <w:rFonts w:hint="eastAsia" w:ascii="Songti SC Regular" w:hAnsi="Songti SC Regular" w:eastAsia="Songti SC Regular" w:cs="Songti SC Regular"/>
                <w:b w:val="0"/>
                <w:bCs w:val="0"/>
                <w:highlight w:val="none"/>
                <w:lang w:val="en-US"/>
              </w:rPr>
              <w:t>成效进行陈述</w:t>
            </w:r>
            <w:r>
              <w:rPr>
                <w:rFonts w:hint="eastAsia" w:ascii="Songti SC Regular" w:hAnsi="Songti SC Regular" w:eastAsia="Songti SC Regular" w:cs="Songti SC Regular"/>
                <w:b w:val="0"/>
                <w:bCs w:val="0"/>
                <w:highlight w:val="none"/>
              </w:rPr>
              <w:t>，</w:t>
            </w:r>
            <w:r>
              <w:rPr>
                <w:rFonts w:hint="eastAsia" w:ascii="Songti SC Regular" w:hAnsi="Songti SC Regular" w:eastAsia="Songti SC Regular" w:cs="Songti SC Regular"/>
                <w:b w:val="0"/>
                <w:bCs w:val="0"/>
                <w:highlight w:val="none"/>
                <w:lang w:val="en-US"/>
              </w:rPr>
              <w:t>总字数控制在</w:t>
            </w:r>
            <w:r>
              <w:rPr>
                <w:rFonts w:hint="default" w:ascii="Songti SC Regular" w:hAnsi="Songti SC Regular" w:eastAsia="Songti SC Regular" w:cs="Songti SC Regular"/>
                <w:b w:val="0"/>
                <w:bCs w:val="0"/>
                <w:highlight w:val="none"/>
              </w:rPr>
              <w:t>2000</w:t>
            </w:r>
            <w:r>
              <w:rPr>
                <w:rFonts w:hint="eastAsia" w:ascii="Songti SC Regular" w:hAnsi="Songti SC Regular" w:eastAsia="Songti SC Regular" w:cs="Songti SC Regular"/>
                <w:b w:val="0"/>
                <w:bCs w:val="0"/>
                <w:highlight w:val="none"/>
                <w:lang w:val="en-US"/>
              </w:rPr>
              <w:t>字以内</w:t>
            </w:r>
            <w:r>
              <w:rPr>
                <w:rFonts w:hint="eastAsia" w:ascii="Songti SC Regular" w:hAnsi="Songti SC Regular" w:eastAsia="Songti SC Regular" w:cs="Songti SC Regular"/>
                <w:b w:val="0"/>
                <w:bCs w:val="0"/>
                <w:highlight w:val="none"/>
              </w:rPr>
              <w:t>，</w:t>
            </w:r>
            <w:r>
              <w:rPr>
                <w:rFonts w:hint="eastAsia" w:ascii="Songti SC Regular" w:hAnsi="Songti SC Regular" w:eastAsia="Songti SC Regular" w:cs="Songti SC Regular"/>
                <w:b w:val="0"/>
                <w:bCs w:val="0"/>
                <w:highlight w:val="none"/>
                <w:lang w:val="en-US" w:eastAsia="zh-CN"/>
              </w:rPr>
              <w:t>以</w:t>
            </w:r>
            <w:r>
              <w:rPr>
                <w:rFonts w:hint="eastAsia" w:ascii="Songti SC Regular" w:hAnsi="Songti SC Regular" w:eastAsia="Songti SC Regular" w:cs="Songti SC Regular"/>
                <w:b w:val="0"/>
                <w:bCs w:val="0"/>
                <w:highlight w:val="none"/>
                <w:lang w:val="en-US"/>
              </w:rPr>
              <w:t>下</w:t>
            </w:r>
            <w:r>
              <w:rPr>
                <w:rFonts w:hint="eastAsia" w:ascii="Songti SC Regular" w:hAnsi="Songti SC Regular" w:eastAsia="Songti SC Regular" w:cs="Songti SC Regular"/>
                <w:b w:val="0"/>
                <w:bCs w:val="0"/>
                <w:highlight w:val="none"/>
                <w:lang w:val="en-US" w:eastAsia="zh-CN"/>
              </w:rPr>
              <w:t>以“青春讲师团”</w:t>
            </w:r>
            <w:r>
              <w:rPr>
                <w:rFonts w:hint="eastAsia" w:ascii="Songti SC Regular" w:hAnsi="Songti SC Regular" w:eastAsia="Songti SC Regular" w:cs="Songti SC Regular"/>
                <w:b w:val="0"/>
                <w:bCs w:val="0"/>
                <w:highlight w:val="none"/>
                <w:lang w:val="en-US"/>
              </w:rPr>
              <w:t>为参考案例</w:t>
            </w:r>
            <w:r>
              <w:rPr>
                <w:rFonts w:hint="eastAsia" w:ascii="Songti SC Regular" w:hAnsi="Songti SC Regular" w:eastAsia="Songti SC Regular" w:cs="Songti SC Regular"/>
                <w:b w:val="0"/>
                <w:bCs w:val="0"/>
                <w:highlight w:val="none"/>
              </w:rPr>
              <w:t>）</w:t>
            </w:r>
          </w:p>
          <w:p w14:paraId="76C45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20" w:firstLineChars="200"/>
              <w:jc w:val="both"/>
              <w:textAlignment w:val="auto"/>
              <w:outlineLvl w:val="9"/>
              <w:rPr>
                <w:rFonts w:hint="eastAsia" w:ascii="Songti SC Regular" w:hAnsi="Songti SC Regular" w:eastAsia="Songti SC Regular" w:cs="Songti SC Regular"/>
                <w:highlight w:val="none"/>
                <w:lang w:val="en-US"/>
              </w:rPr>
            </w:pPr>
            <w:r>
              <w:rPr>
                <w:rFonts w:hint="eastAsia" w:ascii="Songti SC Regular" w:hAnsi="Songti SC Regular" w:eastAsia="Songti SC Regular" w:cs="Songti SC Regular"/>
                <w:highlight w:val="none"/>
                <w:lang w:val="en-US" w:eastAsia="zh-CN"/>
              </w:rPr>
              <w:t>自2019年起，学校把握新中国成立70周年、建党百年、北京冬奥会等重要契机，先后成立“服务保障国庆活动”“请党放心，强国有我”“我和我的冬奥故事”等专题宣讲团。2022年5月5日，正值建团百年之际，为进一步整合学校优质青年宣讲资源，用青年故事、青年思考和青年话语宣传阐述习近平新时代中国特色社会主义思想，激励广大青年更加深刻、自觉地用习近平新时代中国特色社会主义思想武装头脑、指导实践，在学校党委的关心指导下，全校共青团组织联合发起成立“北京师范大学青春讲师团”。</w:t>
            </w:r>
          </w:p>
        </w:tc>
      </w:tr>
      <w:tr w14:paraId="1F88E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7" w:hRule="atLeast"/>
          <w:jc w:val="center"/>
        </w:trPr>
        <w:tc>
          <w:tcPr>
            <w:tcW w:w="1107" w:type="dxa"/>
            <w:vAlign w:val="center"/>
          </w:tcPr>
          <w:p w14:paraId="04779B05">
            <w:pPr>
              <w:jc w:val="center"/>
              <w:rPr>
                <w:bCs/>
                <w:sz w:val="24"/>
                <w:highlight w:val="none"/>
              </w:rPr>
            </w:pPr>
            <w:r>
              <w:rPr>
                <w:bCs/>
                <w:sz w:val="24"/>
                <w:highlight w:val="none"/>
              </w:rPr>
              <w:t>特色</w:t>
            </w:r>
          </w:p>
          <w:p w14:paraId="6DABC465">
            <w:pPr>
              <w:jc w:val="center"/>
              <w:rPr>
                <w:rFonts w:hint="eastAsia"/>
                <w:bCs/>
                <w:sz w:val="24"/>
                <w:highlight w:val="none"/>
                <w:lang w:val="en-US"/>
              </w:rPr>
            </w:pPr>
            <w:r>
              <w:rPr>
                <w:rFonts w:hint="eastAsia"/>
                <w:bCs/>
                <w:sz w:val="24"/>
                <w:highlight w:val="none"/>
                <w:lang w:val="en-US"/>
              </w:rPr>
              <w:t>工作</w:t>
            </w:r>
          </w:p>
          <w:p w14:paraId="40E1802E">
            <w:pPr>
              <w:jc w:val="center"/>
              <w:rPr>
                <w:rFonts w:hint="eastAsia"/>
                <w:bCs/>
                <w:sz w:val="24"/>
                <w:highlight w:val="none"/>
                <w:lang w:val="en-US"/>
              </w:rPr>
            </w:pPr>
            <w:r>
              <w:rPr>
                <w:rFonts w:hint="eastAsia"/>
                <w:bCs/>
                <w:sz w:val="24"/>
                <w:highlight w:val="none"/>
                <w:lang w:val="en-US"/>
              </w:rPr>
              <w:t>思路</w:t>
            </w:r>
          </w:p>
        </w:tc>
        <w:tc>
          <w:tcPr>
            <w:tcW w:w="9008" w:type="dxa"/>
            <w:gridSpan w:val="7"/>
          </w:tcPr>
          <w:p w14:paraId="41AA8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422" w:firstLineChars="200"/>
              <w:jc w:val="both"/>
              <w:textAlignment w:val="auto"/>
              <w:rPr>
                <w:rFonts w:hint="eastAsia" w:ascii="Songti SC Regular" w:hAnsi="Songti SC Regular" w:eastAsia="Songti SC Regular" w:cs="Songti SC Regular"/>
                <w:highlight w:val="none"/>
                <w:lang w:val="en-US"/>
              </w:rPr>
            </w:pPr>
            <w:r>
              <w:rPr>
                <w:rFonts w:hint="eastAsia" w:ascii="Songti SC Regular" w:hAnsi="Songti SC Regular" w:eastAsia="Songti SC Regular" w:cs="Songti SC Regular"/>
                <w:b/>
                <w:bCs/>
                <w:highlight w:val="none"/>
                <w:lang w:val="en-US"/>
              </w:rPr>
              <w:t>围绕办学定位，探索构建讲师培育新平台</w:t>
            </w:r>
            <w:r>
              <w:rPr>
                <w:rFonts w:hint="eastAsia" w:ascii="Songti SC Regular" w:hAnsi="Songti SC Regular" w:eastAsia="Songti SC Regular" w:cs="Songti SC Regular"/>
                <w:b/>
                <w:bCs/>
                <w:highlight w:val="none"/>
              </w:rPr>
              <w:t>。</w:t>
            </w:r>
            <w:r>
              <w:rPr>
                <w:rFonts w:hint="eastAsia" w:ascii="Songti SC Regular" w:hAnsi="Songti SC Regular" w:eastAsia="Songti SC Regular" w:cs="Songti SC Regular"/>
                <w:highlight w:val="none"/>
                <w:lang w:val="en-US"/>
              </w:rPr>
              <w:t>建立“校内+校外”专家联动育人体系，聘请校内外理论专家、知名学者、资深演讲家等组成专家顾问团队，发挥讲师团建设智库作用，深度参与讲师培养方案制定和培训课程研制，为青春讲师的理论素养、宣讲技能、专题宣讲知识等方面提供专业指导。开展常态化理论学习，修炼内功，强基固本。设计宣讲反馈问卷，根据受众反馈及时查找不足，激发理论学习的内生动力，实现“学”与“讲”的双向互动和闭环反馈，努力形成“学以致讲-以讲促学-讲学相长”三效合一浸润教育。注重在实践中感悟伟大成就、汲取精神伟力，选拔优秀讲师赴延安、阜平、沧州等地开展研学活动，推动构建“价值塑造-能力培养-知识传授-实践训练”四位一体的讲师培养体系。</w:t>
            </w:r>
          </w:p>
          <w:p w14:paraId="34FA3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422" w:firstLineChars="200"/>
              <w:jc w:val="both"/>
              <w:textAlignment w:val="auto"/>
              <w:rPr>
                <w:rFonts w:hint="eastAsia" w:ascii="Songti SC Regular" w:hAnsi="Songti SC Regular" w:eastAsia="Songti SC Regular" w:cs="Songti SC Regular"/>
                <w:highlight w:val="none"/>
              </w:rPr>
            </w:pPr>
            <w:r>
              <w:rPr>
                <w:rFonts w:hint="eastAsia" w:ascii="Songti SC Regular" w:hAnsi="Songti SC Regular" w:eastAsia="Songti SC Regular" w:cs="Songti SC Regular"/>
                <w:b/>
                <w:bCs/>
                <w:highlight w:val="none"/>
                <w:lang w:val="en-US"/>
              </w:rPr>
              <w:t>发挥朋辈力量，建强思政工作后备军</w:t>
            </w:r>
            <w:r>
              <w:rPr>
                <w:rFonts w:hint="eastAsia" w:ascii="Songti SC Regular" w:hAnsi="Songti SC Regular" w:eastAsia="Songti SC Regular" w:cs="Songti SC Regular"/>
                <w:b/>
                <w:bCs/>
                <w:highlight w:val="none"/>
                <w:lang w:val="en-US" w:eastAsia="zh-CN"/>
              </w:rPr>
              <w:t>。</w:t>
            </w:r>
            <w:r>
              <w:rPr>
                <w:rFonts w:hint="eastAsia" w:ascii="Songti SC Regular" w:hAnsi="Songti SC Regular" w:eastAsia="Songti SC Regular" w:cs="Songti SC Regular"/>
                <w:highlight w:val="none"/>
              </w:rPr>
              <w:t>坚持胸怀大局、着眼大事，把握建党百年、建团百年、建校120周年等重要契机，成立专题宣讲突击队，原创打造“请党放心，强国有我”“我和我的冬奥故事”“中国梦·强师行”“增强团员意识，争做‘四有’标识鲜明的一流学生”等专题宣讲，积极回应时代之问和青年之需</w:t>
            </w:r>
            <w:bookmarkStart w:id="0" w:name="_GoBack"/>
            <w:bookmarkEnd w:id="0"/>
            <w:r>
              <w:rPr>
                <w:rFonts w:hint="eastAsia" w:ascii="Songti SC Regular" w:hAnsi="Songti SC Regular" w:eastAsia="Songti SC Regular" w:cs="Songti SC Regular"/>
                <w:highlight w:val="none"/>
              </w:rPr>
              <w:t>，发挥朋辈教育功能，实现育人与育己有机结合。以赛促讲，组织举办“这十年·青年讲”“京师风范、强国有我”校内宣讲比赛，致广大而尽精微，用青年话语解读党的创新理论、</w:t>
            </w:r>
            <w:r>
              <w:rPr>
                <w:rFonts w:hint="eastAsia" w:ascii="Songti SC Regular" w:hAnsi="Songti SC Regular" w:eastAsia="Songti SC Regular" w:cs="Songti SC Regular"/>
                <w:highlight w:val="none"/>
                <w:lang w:val="en-US" w:eastAsia="zh-CN"/>
              </w:rPr>
              <w:t>学习</w:t>
            </w:r>
            <w:r>
              <w:rPr>
                <w:rFonts w:hint="eastAsia" w:ascii="Songti SC Regular" w:hAnsi="Songti SC Regular" w:eastAsia="Songti SC Regular" w:cs="Songti SC Regular"/>
                <w:highlight w:val="none"/>
              </w:rPr>
              <w:t>习近平总书记的谆谆教诲，发挥团员模范作用，激励北师大青年和附校学子，赓续红色血脉，强壮精神素养，以“自找苦吃”的精气神刻苦学习、砥砺奋进。努力打通基层理论宣讲“最后一公里”，创新采用“点单派单”+“挂职副站长”模式，精准高效对接北京西城区、石景山区等多个街道，传递思想引领炬火，推动党的创新理论“飞入寻常百姓家”。</w:t>
            </w:r>
          </w:p>
          <w:p w14:paraId="4D43D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422" w:firstLineChars="200"/>
              <w:jc w:val="both"/>
              <w:textAlignment w:val="auto"/>
              <w:rPr>
                <w:rFonts w:hint="eastAsia" w:ascii="Songti SC Regular" w:hAnsi="Songti SC Regular" w:eastAsia="Songti SC Regular" w:cs="Songti SC Regular"/>
                <w:highlight w:val="none"/>
                <w:lang w:val="en-US"/>
              </w:rPr>
            </w:pPr>
            <w:r>
              <w:rPr>
                <w:rFonts w:hint="eastAsia" w:ascii="Songti SC Regular" w:hAnsi="Songti SC Regular" w:eastAsia="Songti SC Regular" w:cs="Songti SC Regular"/>
                <w:b/>
                <w:bCs/>
                <w:highlight w:val="none"/>
                <w:lang w:val="en-US"/>
              </w:rPr>
              <w:t>拓宽育人路径，助力“大中小学思政课一体化”建设</w:t>
            </w:r>
            <w:r>
              <w:rPr>
                <w:rFonts w:hint="eastAsia" w:ascii="Songti SC Regular" w:hAnsi="Songti SC Regular" w:eastAsia="Songti SC Regular" w:cs="Songti SC Regular"/>
                <w:b/>
                <w:bCs/>
                <w:highlight w:val="none"/>
                <w:lang w:val="en-US" w:eastAsia="zh-CN"/>
              </w:rPr>
              <w:t>。</w:t>
            </w:r>
            <w:r>
              <w:rPr>
                <w:rFonts w:hint="eastAsia" w:ascii="Songti SC Regular" w:hAnsi="Songti SC Regular" w:eastAsia="Songti SC Regular" w:cs="Songti SC Regular"/>
                <w:b w:val="0"/>
                <w:bCs w:val="0"/>
                <w:highlight w:val="none"/>
                <w:lang w:val="en-US" w:eastAsia="zh-CN"/>
              </w:rPr>
              <w:t>整合育人资源，拓宽育人路径，结合中小学生思想动态和认知水平，精心遴选主题，安排讲师分批前往北师大各附属学校、北师大研支团支教帮扶地、北京市京源学校等开展志愿宣讲，根据中小学生特点和规律因材施教，打造更有亲和力、更具针对性的青春宣讲，深受中小学生欢迎。注重“授人以渔”，推广办团经验，组建“京起浙江潮”实践队指导北京师范大学台州实验学校成立了该校的中学生宣讲团，紧扣思政教材、结合学生经历，打磨出8个精品课程并赴周边社区进行宣讲，探索可复制、可移植的中小学宣讲团筹建方案，构建育人共同体，助力“大中小学思政课一体化”建设。</w:t>
            </w:r>
          </w:p>
        </w:tc>
      </w:tr>
      <w:tr w14:paraId="60B60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5" w:hRule="atLeast"/>
          <w:jc w:val="center"/>
        </w:trPr>
        <w:tc>
          <w:tcPr>
            <w:tcW w:w="1107" w:type="dxa"/>
            <w:vAlign w:val="center"/>
          </w:tcPr>
          <w:p w14:paraId="7E26D12D">
            <w:pPr>
              <w:jc w:val="center"/>
              <w:rPr>
                <w:rFonts w:hint="eastAsia"/>
                <w:bCs/>
                <w:sz w:val="24"/>
                <w:highlight w:val="none"/>
                <w:lang w:val="en-US"/>
              </w:rPr>
            </w:pPr>
            <w:r>
              <w:rPr>
                <w:rFonts w:hint="eastAsia"/>
                <w:bCs/>
                <w:sz w:val="24"/>
                <w:highlight w:val="none"/>
                <w:lang w:val="en-US"/>
              </w:rPr>
              <w:t>特色</w:t>
            </w:r>
          </w:p>
          <w:p w14:paraId="082DA38C">
            <w:pPr>
              <w:jc w:val="center"/>
              <w:rPr>
                <w:rFonts w:hint="eastAsia"/>
                <w:bCs/>
                <w:sz w:val="24"/>
                <w:highlight w:val="none"/>
                <w:lang w:val="en-US"/>
              </w:rPr>
            </w:pPr>
            <w:r>
              <w:rPr>
                <w:rFonts w:hint="eastAsia"/>
                <w:bCs/>
                <w:sz w:val="24"/>
                <w:highlight w:val="none"/>
                <w:lang w:val="en-US"/>
              </w:rPr>
              <w:t>工作</w:t>
            </w:r>
          </w:p>
          <w:p w14:paraId="45A72A92">
            <w:pPr>
              <w:jc w:val="center"/>
              <w:rPr>
                <w:rFonts w:hint="eastAsia"/>
                <w:bCs/>
                <w:sz w:val="24"/>
                <w:highlight w:val="none"/>
                <w:lang w:val="en-US"/>
              </w:rPr>
            </w:pPr>
            <w:r>
              <w:rPr>
                <w:rFonts w:hint="eastAsia"/>
                <w:bCs/>
                <w:sz w:val="24"/>
                <w:highlight w:val="none"/>
                <w:lang w:val="en-US"/>
              </w:rPr>
              <w:t>举措</w:t>
            </w:r>
          </w:p>
          <w:p w14:paraId="343BA60F">
            <w:pPr>
              <w:jc w:val="center"/>
              <w:rPr>
                <w:rFonts w:hint="default"/>
                <w:bCs/>
                <w:sz w:val="24"/>
                <w:highlight w:val="none"/>
              </w:rPr>
            </w:pPr>
            <w:r>
              <w:rPr>
                <w:rFonts w:hint="default"/>
                <w:bCs/>
                <w:sz w:val="24"/>
                <w:highlight w:val="none"/>
              </w:rPr>
              <w:t>（</w:t>
            </w:r>
            <w:r>
              <w:rPr>
                <w:rFonts w:hint="eastAsia"/>
                <w:bCs/>
                <w:sz w:val="24"/>
                <w:highlight w:val="none"/>
                <w:lang w:val="en-US"/>
              </w:rPr>
              <w:t>队伍</w:t>
            </w:r>
            <w:r>
              <w:rPr>
                <w:rFonts w:hint="default"/>
                <w:bCs/>
                <w:sz w:val="24"/>
                <w:highlight w:val="none"/>
              </w:rPr>
              <w:t>、</w:t>
            </w:r>
          </w:p>
          <w:p w14:paraId="51228426">
            <w:pPr>
              <w:jc w:val="center"/>
              <w:rPr>
                <w:rFonts w:hint="default"/>
                <w:bCs/>
                <w:sz w:val="24"/>
                <w:highlight w:val="none"/>
              </w:rPr>
            </w:pPr>
            <w:r>
              <w:rPr>
                <w:rFonts w:hint="eastAsia"/>
                <w:bCs/>
                <w:sz w:val="24"/>
                <w:highlight w:val="none"/>
                <w:lang w:val="en-US"/>
              </w:rPr>
              <w:t>平台</w:t>
            </w:r>
            <w:r>
              <w:rPr>
                <w:rFonts w:hint="default"/>
                <w:bCs/>
                <w:sz w:val="24"/>
                <w:highlight w:val="none"/>
              </w:rPr>
              <w:t>、</w:t>
            </w:r>
          </w:p>
          <w:p w14:paraId="5722CAF9">
            <w:pPr>
              <w:jc w:val="center"/>
              <w:rPr>
                <w:rFonts w:hint="eastAsia" w:eastAsia="宋体"/>
                <w:bCs/>
                <w:sz w:val="24"/>
                <w:highlight w:val="none"/>
                <w:lang w:val="en-US"/>
              </w:rPr>
            </w:pPr>
            <w:r>
              <w:rPr>
                <w:rFonts w:hint="eastAsia"/>
                <w:bCs/>
                <w:sz w:val="24"/>
                <w:highlight w:val="none"/>
                <w:lang w:val="en-US"/>
              </w:rPr>
              <w:t>机制等</w:t>
            </w:r>
            <w:r>
              <w:rPr>
                <w:rFonts w:hint="default"/>
                <w:bCs/>
                <w:sz w:val="24"/>
                <w:highlight w:val="none"/>
              </w:rPr>
              <w:t>）</w:t>
            </w:r>
          </w:p>
        </w:tc>
        <w:tc>
          <w:tcPr>
            <w:tcW w:w="9008" w:type="dxa"/>
            <w:gridSpan w:val="7"/>
          </w:tcPr>
          <w:p w14:paraId="1F888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422" w:firstLineChars="200"/>
              <w:jc w:val="both"/>
              <w:textAlignment w:val="auto"/>
              <w:rPr>
                <w:rFonts w:hint="eastAsia" w:ascii="Songti SC Regular" w:hAnsi="Songti SC Regular" w:eastAsia="Songti SC Regular" w:cs="Songti SC Regular"/>
                <w:b/>
                <w:bCs/>
                <w:highlight w:val="none"/>
              </w:rPr>
            </w:pPr>
            <w:r>
              <w:rPr>
                <w:rFonts w:hint="default" w:ascii="Songti SC Regular" w:hAnsi="Songti SC Regular" w:eastAsia="Songti SC Regular" w:cs="Songti SC Regular"/>
                <w:b/>
                <w:bCs/>
                <w:highlight w:val="none"/>
              </w:rPr>
              <w:t>1</w:t>
            </w:r>
            <w:r>
              <w:rPr>
                <w:rFonts w:hint="eastAsia" w:ascii="Songti SC Regular" w:hAnsi="Songti SC Regular" w:eastAsia="Songti SC Regular" w:cs="Songti SC Regular"/>
                <w:b/>
                <w:bCs/>
                <w:highlight w:val="none"/>
                <w:lang w:val="en-US"/>
              </w:rPr>
              <w:t>.</w:t>
            </w:r>
            <w:r>
              <w:rPr>
                <w:rFonts w:hint="eastAsia" w:ascii="Songti SC Regular" w:hAnsi="Songti SC Regular" w:eastAsia="Songti SC Regular" w:cs="Songti SC Regular"/>
                <w:b/>
                <w:bCs/>
                <w:highlight w:val="none"/>
              </w:rPr>
              <w:t xml:space="preserve"> </w:t>
            </w:r>
            <w:r>
              <w:rPr>
                <w:rFonts w:hint="eastAsia" w:ascii="Songti SC Regular" w:hAnsi="Songti SC Regular" w:eastAsia="Songti SC Regular" w:cs="Songti SC Regular"/>
                <w:b/>
                <w:bCs/>
                <w:highlight w:val="none"/>
                <w:lang w:val="en-US"/>
              </w:rPr>
              <w:t>组织架构</w:t>
            </w:r>
          </w:p>
          <w:p w14:paraId="1B337E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420" w:firstLineChars="200"/>
              <w:jc w:val="both"/>
              <w:textAlignment w:val="auto"/>
              <w:rPr>
                <w:rFonts w:hint="eastAsia" w:ascii="Songti SC Regular" w:hAnsi="Songti SC Regular" w:eastAsia="Songti SC Regular" w:cs="Songti SC Regular"/>
                <w:highlight w:val="none"/>
              </w:rPr>
            </w:pPr>
            <w:r>
              <w:rPr>
                <w:rFonts w:hint="eastAsia" w:ascii="Songti SC Regular" w:hAnsi="Songti SC Regular" w:eastAsia="Songti SC Regular" w:cs="Songti SC Regular"/>
                <w:highlight w:val="none"/>
              </w:rPr>
              <w:t>青春讲师团设有团长团负责日常工作，各团长分管办公室、宣传部、课程部和培训部等总团职能部门，联系院系分团。</w:t>
            </w:r>
          </w:p>
          <w:p w14:paraId="68E94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422" w:firstLineChars="200"/>
              <w:jc w:val="both"/>
              <w:textAlignment w:val="auto"/>
              <w:rPr>
                <w:rFonts w:hint="eastAsia" w:ascii="Songti SC Regular" w:hAnsi="Songti SC Regular" w:eastAsia="Songti SC Regular" w:cs="Songti SC Regular"/>
                <w:highlight w:val="none"/>
              </w:rPr>
            </w:pPr>
            <w:r>
              <w:rPr>
                <w:rFonts w:hint="default" w:ascii="Songti SC Regular" w:hAnsi="Songti SC Regular" w:eastAsia="Songti SC Regular" w:cs="Songti SC Regular"/>
                <w:b/>
                <w:bCs/>
                <w:highlight w:val="none"/>
              </w:rPr>
              <w:t>2</w:t>
            </w:r>
            <w:r>
              <w:rPr>
                <w:rFonts w:hint="eastAsia" w:ascii="Songti SC Regular" w:hAnsi="Songti SC Regular" w:eastAsia="Songti SC Regular" w:cs="Songti SC Regular"/>
                <w:b/>
                <w:bCs/>
                <w:highlight w:val="none"/>
                <w:lang w:val="en-US"/>
              </w:rPr>
              <w:t>.</w:t>
            </w:r>
            <w:r>
              <w:rPr>
                <w:rFonts w:hint="eastAsia" w:ascii="Songti SC Regular" w:hAnsi="Songti SC Regular" w:eastAsia="Songti SC Regular" w:cs="Songti SC Regular"/>
                <w:b/>
                <w:bCs/>
                <w:highlight w:val="none"/>
              </w:rPr>
              <w:t xml:space="preserve"> </w:t>
            </w:r>
            <w:r>
              <w:rPr>
                <w:rFonts w:hint="eastAsia" w:ascii="Songti SC Regular" w:hAnsi="Songti SC Regular" w:eastAsia="Songti SC Regular" w:cs="Songti SC Regular"/>
                <w:b/>
                <w:bCs/>
                <w:highlight w:val="none"/>
                <w:lang w:val="en-US"/>
              </w:rPr>
              <w:t>专家及平台支持</w:t>
            </w:r>
          </w:p>
          <w:p w14:paraId="7BD7C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420" w:firstLineChars="200"/>
              <w:jc w:val="both"/>
              <w:textAlignment w:val="auto"/>
              <w:rPr>
                <w:rFonts w:hint="eastAsia" w:ascii="Songti SC Regular" w:hAnsi="Songti SC Regular" w:eastAsia="Songti SC Regular" w:cs="Songti SC Regular"/>
                <w:highlight w:val="none"/>
              </w:rPr>
            </w:pPr>
            <w:r>
              <w:rPr>
                <w:rFonts w:hint="eastAsia" w:ascii="Songti SC Regular" w:hAnsi="Songti SC Regular" w:eastAsia="Songti SC Regular" w:cs="Songti SC Regular"/>
                <w:highlight w:val="none"/>
              </w:rPr>
              <w:t>（1）青春讲师团聘请校内外理论专家、知名学者、资深演讲家等担任专家顾问团队，对全体讲师（及申请人）的政治理论、宣讲技能、内容打磨等方面进行指导。</w:t>
            </w:r>
          </w:p>
          <w:p w14:paraId="27D28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420" w:firstLineChars="200"/>
              <w:jc w:val="both"/>
              <w:textAlignment w:val="auto"/>
              <w:rPr>
                <w:rFonts w:hint="eastAsia" w:ascii="Songti SC Regular" w:hAnsi="Songti SC Regular" w:eastAsia="Songti SC Regular" w:cs="Songti SC Regular"/>
                <w:highlight w:val="none"/>
              </w:rPr>
            </w:pPr>
            <w:r>
              <w:rPr>
                <w:rFonts w:hint="eastAsia" w:ascii="Songti SC Regular" w:hAnsi="Songti SC Regular" w:eastAsia="Songti SC Regular" w:cs="Songti SC Regular"/>
                <w:highlight w:val="none"/>
              </w:rPr>
              <w:t>（2）青春讲师团邀请专业团队对成熟的精品课程录制成视频课，依托“青春北师”等校级官方线上平台予以宣传推广，切实维护青春讲师团和全体青春讲师的智慧版权。</w:t>
            </w:r>
          </w:p>
          <w:p w14:paraId="738A5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422" w:firstLineChars="200"/>
              <w:jc w:val="both"/>
              <w:textAlignment w:val="auto"/>
              <w:rPr>
                <w:rFonts w:hint="eastAsia" w:ascii="Songti SC Regular" w:hAnsi="Songti SC Regular" w:eastAsia="Songti SC Regular" w:cs="Songti SC Regular"/>
                <w:b/>
                <w:bCs/>
                <w:highlight w:val="none"/>
              </w:rPr>
            </w:pPr>
            <w:r>
              <w:rPr>
                <w:rFonts w:hint="eastAsia" w:ascii="Songti SC Regular" w:hAnsi="Songti SC Regular" w:eastAsia="Songti SC Regular" w:cs="Songti SC Regular"/>
                <w:b/>
                <w:bCs/>
                <w:highlight w:val="none"/>
              </w:rPr>
              <w:t>3</w:t>
            </w:r>
            <w:r>
              <w:rPr>
                <w:rFonts w:hint="eastAsia" w:ascii="Songti SC Regular" w:hAnsi="Songti SC Regular" w:eastAsia="Songti SC Regular" w:cs="Songti SC Regular"/>
                <w:b/>
                <w:bCs/>
                <w:highlight w:val="none"/>
                <w:lang w:val="en-US"/>
              </w:rPr>
              <w:t>.</w:t>
            </w:r>
            <w:r>
              <w:rPr>
                <w:rFonts w:hint="eastAsia" w:ascii="Songti SC Regular" w:hAnsi="Songti SC Regular" w:eastAsia="Songti SC Regular" w:cs="Songti SC Regular"/>
                <w:b/>
                <w:bCs/>
                <w:highlight w:val="none"/>
              </w:rPr>
              <w:t xml:space="preserve"> </w:t>
            </w:r>
            <w:r>
              <w:rPr>
                <w:rFonts w:hint="eastAsia" w:ascii="Songti SC Regular" w:hAnsi="Songti SC Regular" w:eastAsia="Songti SC Regular" w:cs="Songti SC Regular"/>
                <w:b/>
                <w:bCs/>
                <w:highlight w:val="none"/>
                <w:lang w:val="en-US"/>
              </w:rPr>
              <w:t>培训提升机制</w:t>
            </w:r>
          </w:p>
          <w:p w14:paraId="304111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420" w:firstLineChars="200"/>
              <w:jc w:val="both"/>
              <w:textAlignment w:val="auto"/>
              <w:rPr>
                <w:rFonts w:hint="default" w:ascii="Songti SC Regular" w:hAnsi="Songti SC Regular" w:eastAsia="Songti SC Regular" w:cs="Songti SC Regular"/>
                <w:highlight w:val="none"/>
              </w:rPr>
            </w:pPr>
            <w:r>
              <w:rPr>
                <w:rFonts w:hint="eastAsia" w:ascii="Songti SC Regular" w:hAnsi="Songti SC Regular" w:eastAsia="Songti SC Regular" w:cs="Songti SC Regular"/>
                <w:highlight w:val="none"/>
                <w:lang w:val="en-US"/>
              </w:rPr>
              <w:t>理论素养方面，组织理论学习</w:t>
            </w:r>
            <w:r>
              <w:rPr>
                <w:rFonts w:hint="default" w:ascii="Songti SC Regular" w:hAnsi="Songti SC Regular" w:eastAsia="Songti SC Regular" w:cs="Songti SC Regular"/>
                <w:highlight w:val="none"/>
              </w:rPr>
              <w:t>，</w:t>
            </w:r>
            <w:r>
              <w:rPr>
                <w:rFonts w:hint="eastAsia" w:ascii="Songti SC Regular" w:hAnsi="Songti SC Regular" w:eastAsia="Songti SC Regular" w:cs="Songti SC Regular"/>
                <w:highlight w:val="none"/>
                <w:lang w:val="en-US"/>
              </w:rPr>
              <w:t>邀请专家学者对理论难点</w:t>
            </w:r>
            <w:r>
              <w:rPr>
                <w:rFonts w:hint="default" w:ascii="Songti SC Regular" w:hAnsi="Songti SC Regular" w:eastAsia="Songti SC Regular" w:cs="Songti SC Regular"/>
                <w:highlight w:val="none"/>
              </w:rPr>
              <w:t>、</w:t>
            </w:r>
            <w:r>
              <w:rPr>
                <w:rFonts w:hint="eastAsia" w:ascii="Songti SC Regular" w:hAnsi="Songti SC Regular" w:eastAsia="Songti SC Regular" w:cs="Songti SC Regular"/>
                <w:highlight w:val="none"/>
                <w:lang w:val="en-US"/>
              </w:rPr>
              <w:t>时政热点</w:t>
            </w:r>
            <w:r>
              <w:rPr>
                <w:rFonts w:hint="default" w:ascii="Songti SC Regular" w:hAnsi="Songti SC Regular" w:eastAsia="Songti SC Regular" w:cs="Songti SC Regular"/>
                <w:highlight w:val="none"/>
              </w:rPr>
              <w:t>、</w:t>
            </w:r>
            <w:r>
              <w:rPr>
                <w:rFonts w:hint="eastAsia" w:ascii="Songti SC Regular" w:hAnsi="Songti SC Regular" w:eastAsia="Songti SC Regular" w:cs="Songti SC Regular"/>
                <w:highlight w:val="none"/>
                <w:lang w:val="en-US"/>
              </w:rPr>
              <w:t>党史团史校史等内容进行解读授课</w:t>
            </w:r>
            <w:r>
              <w:rPr>
                <w:rFonts w:hint="default" w:ascii="Songti SC Regular" w:hAnsi="Songti SC Regular" w:eastAsia="Songti SC Regular" w:cs="Songti SC Regular"/>
                <w:highlight w:val="none"/>
              </w:rPr>
              <w:t>；</w:t>
            </w:r>
            <w:r>
              <w:rPr>
                <w:rFonts w:hint="eastAsia" w:ascii="Songti SC Regular" w:hAnsi="Songti SC Regular" w:eastAsia="Songti SC Regular" w:cs="Songti SC Regular"/>
                <w:highlight w:val="none"/>
                <w:lang w:val="en-US"/>
              </w:rPr>
              <w:t>讲师团成员以小组为单位</w:t>
            </w:r>
            <w:r>
              <w:rPr>
                <w:rFonts w:hint="default" w:ascii="Songti SC Regular" w:hAnsi="Songti SC Regular" w:eastAsia="Songti SC Regular" w:cs="Songti SC Regular"/>
                <w:highlight w:val="none"/>
              </w:rPr>
              <w:t>，</w:t>
            </w:r>
            <w:r>
              <w:rPr>
                <w:rFonts w:hint="eastAsia" w:ascii="Songti SC Regular" w:hAnsi="Songti SC Regular" w:eastAsia="Songti SC Regular" w:cs="Songti SC Regular"/>
                <w:highlight w:val="none"/>
                <w:lang w:val="en-US"/>
              </w:rPr>
              <w:t>开展理论书籍阅读研讨</w:t>
            </w:r>
            <w:r>
              <w:rPr>
                <w:rFonts w:hint="default" w:ascii="Songti SC Regular" w:hAnsi="Songti SC Regular" w:eastAsia="Songti SC Regular" w:cs="Songti SC Regular"/>
                <w:highlight w:val="none"/>
              </w:rPr>
              <w:t>，</w:t>
            </w:r>
            <w:r>
              <w:rPr>
                <w:rFonts w:hint="eastAsia" w:ascii="Songti SC Regular" w:hAnsi="Songti SC Regular" w:eastAsia="Songti SC Regular" w:cs="Songti SC Regular"/>
                <w:highlight w:val="none"/>
                <w:lang w:val="en-US"/>
              </w:rPr>
              <w:t>扎实理论基础</w:t>
            </w:r>
            <w:r>
              <w:rPr>
                <w:rFonts w:hint="default" w:ascii="Songti SC Regular" w:hAnsi="Songti SC Regular" w:eastAsia="Songti SC Regular" w:cs="Songti SC Regular"/>
                <w:highlight w:val="none"/>
              </w:rPr>
              <w:t>。</w:t>
            </w:r>
          </w:p>
          <w:p w14:paraId="1D8EF6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420" w:firstLineChars="200"/>
              <w:jc w:val="both"/>
              <w:textAlignment w:val="auto"/>
              <w:rPr>
                <w:rFonts w:hint="eastAsia" w:ascii="Songti SC Regular" w:hAnsi="Songti SC Regular" w:eastAsia="Songti SC Regular" w:cs="Songti SC Regular"/>
                <w:highlight w:val="none"/>
              </w:rPr>
            </w:pPr>
            <w:r>
              <w:rPr>
                <w:rFonts w:hint="eastAsia" w:ascii="Songti SC Regular" w:hAnsi="Songti SC Regular" w:eastAsia="Songti SC Regular" w:cs="Songti SC Regular"/>
                <w:highlight w:val="none"/>
                <w:lang w:val="en-US"/>
              </w:rPr>
              <w:t>宣讲技能方面</w:t>
            </w:r>
            <w:r>
              <w:rPr>
                <w:rFonts w:hint="default" w:ascii="Songti SC Regular" w:hAnsi="Songti SC Regular" w:eastAsia="Songti SC Regular" w:cs="Songti SC Regular"/>
                <w:highlight w:val="none"/>
              </w:rPr>
              <w:t>，</w:t>
            </w:r>
            <w:r>
              <w:rPr>
                <w:rFonts w:hint="eastAsia" w:ascii="Songti SC Regular" w:hAnsi="Songti SC Regular" w:eastAsia="Songti SC Regular" w:cs="Songti SC Regular"/>
                <w:highlight w:val="none"/>
                <w:lang w:val="en-US"/>
              </w:rPr>
              <w:t>邀请经验丰富的专家和宣讲员在语言和肢体表达</w:t>
            </w:r>
            <w:r>
              <w:rPr>
                <w:rFonts w:hint="default" w:ascii="Songti SC Regular" w:hAnsi="Songti SC Regular" w:eastAsia="Songti SC Regular" w:cs="Songti SC Regular"/>
                <w:highlight w:val="none"/>
              </w:rPr>
              <w:t>、</w:t>
            </w:r>
            <w:r>
              <w:rPr>
                <w:rFonts w:hint="eastAsia" w:ascii="Songti SC Regular" w:hAnsi="Songti SC Regular" w:eastAsia="Songti SC Regular" w:cs="Songti SC Regular"/>
                <w:highlight w:val="none"/>
                <w:lang w:val="en-US"/>
              </w:rPr>
              <w:t>PPT制作等方面进行讲座分享</w:t>
            </w:r>
            <w:r>
              <w:rPr>
                <w:rFonts w:hint="default" w:ascii="Songti SC Regular" w:hAnsi="Songti SC Regular" w:eastAsia="Songti SC Regular" w:cs="Songti SC Regular"/>
                <w:highlight w:val="none"/>
              </w:rPr>
              <w:t>；</w:t>
            </w:r>
            <w:r>
              <w:rPr>
                <w:rFonts w:hint="eastAsia" w:ascii="Songti SC Regular" w:hAnsi="Songti SC Regular" w:eastAsia="Songti SC Regular" w:cs="Songti SC Regular"/>
                <w:highlight w:val="none"/>
                <w:lang w:val="en-US"/>
              </w:rPr>
              <w:t>开展实践试讲</w:t>
            </w:r>
            <w:r>
              <w:rPr>
                <w:rFonts w:hint="default" w:ascii="Songti SC Regular" w:hAnsi="Songti SC Regular" w:eastAsia="Songti SC Regular" w:cs="Songti SC Regular"/>
                <w:highlight w:val="none"/>
              </w:rPr>
              <w:t>，</w:t>
            </w:r>
            <w:r>
              <w:rPr>
                <w:rFonts w:hint="eastAsia" w:ascii="Songti SC Regular" w:hAnsi="Songti SC Regular" w:eastAsia="Songti SC Regular" w:cs="Songti SC Regular"/>
                <w:highlight w:val="none"/>
                <w:lang w:val="en-US"/>
              </w:rPr>
              <w:t>通过小组和团内试讲点评</w:t>
            </w:r>
            <w:r>
              <w:rPr>
                <w:rFonts w:hint="default" w:ascii="Songti SC Regular" w:hAnsi="Songti SC Regular" w:eastAsia="Songti SC Regular" w:cs="Songti SC Regular"/>
                <w:highlight w:val="none"/>
              </w:rPr>
              <w:t>、</w:t>
            </w:r>
            <w:r>
              <w:rPr>
                <w:rFonts w:hint="eastAsia" w:ascii="Songti SC Regular" w:hAnsi="Songti SC Regular" w:eastAsia="Songti SC Regular" w:cs="Songti SC Regular"/>
                <w:highlight w:val="none"/>
                <w:lang w:val="en-US"/>
              </w:rPr>
              <w:t>集体磨课等环节提升宣讲效果</w:t>
            </w:r>
            <w:r>
              <w:rPr>
                <w:rFonts w:hint="default" w:ascii="Songti SC Regular" w:hAnsi="Songti SC Regular" w:eastAsia="Songti SC Regular" w:cs="Songti SC Regular"/>
                <w:highlight w:val="none"/>
              </w:rPr>
              <w:t>。</w:t>
            </w:r>
          </w:p>
          <w:p w14:paraId="5A590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422" w:firstLineChars="200"/>
              <w:jc w:val="both"/>
              <w:textAlignment w:val="auto"/>
              <w:rPr>
                <w:rFonts w:hint="eastAsia" w:ascii="Songti SC Regular" w:hAnsi="Songti SC Regular" w:eastAsia="Songti SC Regular" w:cs="Songti SC Regular"/>
                <w:b/>
                <w:bCs/>
                <w:highlight w:val="none"/>
              </w:rPr>
            </w:pPr>
            <w:r>
              <w:rPr>
                <w:rFonts w:hint="default" w:ascii="Songti SC Regular" w:hAnsi="Songti SC Regular" w:eastAsia="Songti SC Regular" w:cs="Songti SC Regular"/>
                <w:b/>
                <w:bCs/>
                <w:highlight w:val="none"/>
              </w:rPr>
              <w:t>4</w:t>
            </w:r>
            <w:r>
              <w:rPr>
                <w:rFonts w:hint="eastAsia" w:ascii="Songti SC Regular" w:hAnsi="Songti SC Regular" w:eastAsia="Songti SC Regular" w:cs="Songti SC Regular"/>
                <w:b/>
                <w:bCs/>
                <w:highlight w:val="none"/>
                <w:lang w:val="en-US"/>
              </w:rPr>
              <w:t>.</w:t>
            </w:r>
            <w:r>
              <w:rPr>
                <w:rFonts w:hint="eastAsia" w:ascii="Songti SC Regular" w:hAnsi="Songti SC Regular" w:eastAsia="Songti SC Regular" w:cs="Songti SC Regular"/>
                <w:b/>
                <w:bCs/>
                <w:highlight w:val="none"/>
              </w:rPr>
              <w:t xml:space="preserve"> 保障激励</w:t>
            </w:r>
            <w:r>
              <w:rPr>
                <w:rFonts w:hint="eastAsia" w:ascii="Songti SC Regular" w:hAnsi="Songti SC Regular" w:eastAsia="Songti SC Regular" w:cs="Songti SC Regular"/>
                <w:b/>
                <w:bCs/>
                <w:highlight w:val="none"/>
                <w:lang w:val="en-US"/>
              </w:rPr>
              <w:t>举措</w:t>
            </w:r>
          </w:p>
          <w:p w14:paraId="7C28E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420" w:firstLineChars="200"/>
              <w:jc w:val="both"/>
              <w:textAlignment w:val="auto"/>
              <w:rPr>
                <w:rFonts w:hint="eastAsia" w:ascii="Songti SC Regular" w:hAnsi="Songti SC Regular" w:eastAsia="Songti SC Regular" w:cs="Songti SC Regular"/>
                <w:highlight w:val="none"/>
              </w:rPr>
            </w:pPr>
            <w:r>
              <w:rPr>
                <w:rFonts w:hint="eastAsia" w:ascii="Songti SC Regular" w:hAnsi="Songti SC Regular" w:eastAsia="Songti SC Regular" w:cs="Songti SC Regular"/>
                <w:highlight w:val="none"/>
                <w:lang w:eastAsia="zh-CN"/>
              </w:rPr>
              <w:t>（</w:t>
            </w:r>
            <w:r>
              <w:rPr>
                <w:rFonts w:hint="eastAsia" w:ascii="Songti SC Regular" w:hAnsi="Songti SC Regular" w:eastAsia="Songti SC Regular" w:cs="Songti SC Regular"/>
                <w:highlight w:val="none"/>
                <w:lang w:val="en-US" w:eastAsia="zh-CN"/>
              </w:rPr>
              <w:t>1</w:t>
            </w:r>
            <w:r>
              <w:rPr>
                <w:rFonts w:hint="eastAsia" w:ascii="Songti SC Regular" w:hAnsi="Songti SC Regular" w:eastAsia="Songti SC Regular" w:cs="Songti SC Regular"/>
                <w:highlight w:val="none"/>
                <w:lang w:eastAsia="zh-CN"/>
              </w:rPr>
              <w:t>）</w:t>
            </w:r>
            <w:r>
              <w:rPr>
                <w:rFonts w:hint="eastAsia" w:ascii="Songti SC Regular" w:hAnsi="Songti SC Regular" w:eastAsia="Songti SC Regular" w:cs="Songti SC Regular"/>
                <w:highlight w:val="none"/>
              </w:rPr>
              <w:t>青春讲师团采用"申请报名﹣系统培训﹣学年考核"的三阶段选拔方式，对通过考核的申请人颁发专属聘书。</w:t>
            </w:r>
          </w:p>
          <w:p w14:paraId="66534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420" w:firstLineChars="200"/>
              <w:jc w:val="both"/>
              <w:textAlignment w:val="auto"/>
              <w:rPr>
                <w:rFonts w:hint="eastAsia" w:ascii="Songti SC Regular" w:hAnsi="Songti SC Regular" w:eastAsia="Songti SC Regular" w:cs="Songti SC Regular"/>
                <w:highlight w:val="none"/>
              </w:rPr>
            </w:pPr>
            <w:r>
              <w:rPr>
                <w:rFonts w:hint="eastAsia" w:ascii="Songti SC Regular" w:hAnsi="Songti SC Regular" w:eastAsia="Songti SC Regular" w:cs="Songti SC Regular"/>
                <w:highlight w:val="none"/>
                <w:lang w:eastAsia="zh-CN"/>
              </w:rPr>
              <w:t>（</w:t>
            </w:r>
            <w:r>
              <w:rPr>
                <w:rFonts w:hint="eastAsia" w:ascii="Songti SC Regular" w:hAnsi="Songti SC Regular" w:eastAsia="Songti SC Regular" w:cs="Songti SC Regular"/>
                <w:highlight w:val="none"/>
                <w:lang w:val="en-US" w:eastAsia="zh-CN"/>
              </w:rPr>
              <w:t>2</w:t>
            </w:r>
            <w:r>
              <w:rPr>
                <w:rFonts w:hint="eastAsia" w:ascii="Songti SC Regular" w:hAnsi="Songti SC Regular" w:eastAsia="Songti SC Regular" w:cs="Songti SC Regular"/>
                <w:highlight w:val="none"/>
                <w:lang w:eastAsia="zh-CN"/>
              </w:rPr>
              <w:t>）</w:t>
            </w:r>
            <w:r>
              <w:rPr>
                <w:rFonts w:hint="eastAsia" w:ascii="Songti SC Regular" w:hAnsi="Songti SC Regular" w:eastAsia="Songti SC Regular" w:cs="Songti SC Regular"/>
                <w:highlight w:val="none"/>
              </w:rPr>
              <w:t>青春讲师团所有讲师聘期1年，根据工作表现参与"金牌讲师"及"优秀个人"评选，特别优秀者将推荐参评其他校级及以上荣誉，以及推荐至上级部门组织的青年宣讲类比赛。</w:t>
            </w:r>
          </w:p>
          <w:p w14:paraId="1E867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420" w:firstLineChars="200"/>
              <w:jc w:val="both"/>
              <w:textAlignment w:val="auto"/>
              <w:rPr>
                <w:rFonts w:hint="eastAsia" w:ascii="Songti SC Regular" w:hAnsi="Songti SC Regular" w:eastAsia="Songti SC Regular" w:cs="Songti SC Regular"/>
                <w:highlight w:val="none"/>
              </w:rPr>
            </w:pPr>
            <w:r>
              <w:rPr>
                <w:rFonts w:hint="eastAsia" w:ascii="Songti SC Regular" w:hAnsi="Songti SC Regular" w:eastAsia="Songti SC Regular" w:cs="Songti SC Regular"/>
                <w:highlight w:val="none"/>
                <w:lang w:eastAsia="zh-CN"/>
              </w:rPr>
              <w:t>（</w:t>
            </w:r>
            <w:r>
              <w:rPr>
                <w:rFonts w:hint="eastAsia" w:ascii="Songti SC Regular" w:hAnsi="Songti SC Regular" w:eastAsia="Songti SC Regular" w:cs="Songti SC Regular"/>
                <w:highlight w:val="none"/>
                <w:lang w:val="en-US" w:eastAsia="zh-CN"/>
              </w:rPr>
              <w:t>3</w:t>
            </w:r>
            <w:r>
              <w:rPr>
                <w:rFonts w:hint="eastAsia" w:ascii="Songti SC Regular" w:hAnsi="Songti SC Regular" w:eastAsia="Songti SC Regular" w:cs="Songti SC Regular"/>
                <w:highlight w:val="none"/>
                <w:lang w:eastAsia="zh-CN"/>
              </w:rPr>
              <w:t>）</w:t>
            </w:r>
            <w:r>
              <w:rPr>
                <w:rFonts w:hint="eastAsia" w:ascii="Songti SC Regular" w:hAnsi="Songti SC Regular" w:eastAsia="Songti SC Regular" w:cs="Songti SC Regular"/>
                <w:highlight w:val="none"/>
              </w:rPr>
              <w:t>青春讲师团邀请专业团队为成熟的精品课程录制成视频，依托"青春北师"等校级官方线上平台予以宣传推广，切实维护青春讲师团和全体讲师的智慧版权。</w:t>
            </w:r>
          </w:p>
          <w:p w14:paraId="45A7A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420" w:firstLineChars="200"/>
              <w:jc w:val="both"/>
              <w:textAlignment w:val="auto"/>
              <w:rPr>
                <w:rFonts w:hint="eastAsia" w:ascii="Songti SC Regular" w:hAnsi="Songti SC Regular" w:eastAsia="Songti SC Regular" w:cs="Songti SC Regular"/>
                <w:highlight w:val="none"/>
              </w:rPr>
            </w:pPr>
            <w:r>
              <w:rPr>
                <w:rFonts w:hint="eastAsia" w:ascii="Songti SC Regular" w:hAnsi="Songti SC Regular" w:eastAsia="Songti SC Regular" w:cs="Songti SC Regular"/>
                <w:highlight w:val="none"/>
                <w:lang w:eastAsia="zh-CN"/>
              </w:rPr>
              <w:t>（</w:t>
            </w:r>
            <w:r>
              <w:rPr>
                <w:rFonts w:hint="eastAsia" w:ascii="Songti SC Regular" w:hAnsi="Songti SC Regular" w:eastAsia="Songti SC Regular" w:cs="Songti SC Regular"/>
                <w:highlight w:val="none"/>
                <w:lang w:val="en-US" w:eastAsia="zh-CN"/>
              </w:rPr>
              <w:t>4</w:t>
            </w:r>
            <w:r>
              <w:rPr>
                <w:rFonts w:hint="eastAsia" w:ascii="Songti SC Regular" w:hAnsi="Songti SC Regular" w:eastAsia="Songti SC Regular" w:cs="Songti SC Regular"/>
                <w:highlight w:val="none"/>
                <w:lang w:eastAsia="zh-CN"/>
              </w:rPr>
              <w:t>）</w:t>
            </w:r>
            <w:r>
              <w:rPr>
                <w:rFonts w:hint="eastAsia" w:ascii="Songti SC Regular" w:hAnsi="Songti SC Regular" w:eastAsia="Songti SC Regular" w:cs="Songti SC Regular"/>
                <w:highlight w:val="none"/>
              </w:rPr>
              <w:t>讲师参与相关工作，青春讲师团会按照实际有效参与情况，在"志愿北京"平台进行志愿服务时长认定和录入。</w:t>
            </w:r>
          </w:p>
          <w:p w14:paraId="01B9D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420" w:firstLineChars="200"/>
              <w:jc w:val="both"/>
              <w:textAlignment w:val="auto"/>
              <w:rPr>
                <w:rFonts w:hint="eastAsia" w:ascii="Songti SC Regular" w:hAnsi="Songti SC Regular" w:eastAsia="Songti SC Regular" w:cs="Songti SC Regular"/>
                <w:highlight w:val="none"/>
              </w:rPr>
            </w:pPr>
            <w:r>
              <w:rPr>
                <w:rFonts w:hint="eastAsia" w:ascii="Songti SC Regular" w:hAnsi="Songti SC Regular" w:eastAsia="Songti SC Regular" w:cs="Songti SC Regular"/>
                <w:highlight w:val="none"/>
                <w:lang w:eastAsia="zh-CN"/>
              </w:rPr>
              <w:t>（</w:t>
            </w:r>
            <w:r>
              <w:rPr>
                <w:rFonts w:hint="eastAsia" w:ascii="Songti SC Regular" w:hAnsi="Songti SC Regular" w:eastAsia="Songti SC Regular" w:cs="Songti SC Regular"/>
                <w:highlight w:val="none"/>
                <w:lang w:val="en-US" w:eastAsia="zh-CN"/>
              </w:rPr>
              <w:t>5</w:t>
            </w:r>
            <w:r>
              <w:rPr>
                <w:rFonts w:hint="eastAsia" w:ascii="Songti SC Regular" w:hAnsi="Songti SC Regular" w:eastAsia="Songti SC Regular" w:cs="Songti SC Regular"/>
                <w:highlight w:val="none"/>
                <w:lang w:eastAsia="zh-CN"/>
              </w:rPr>
              <w:t>）</w:t>
            </w:r>
            <w:r>
              <w:rPr>
                <w:rFonts w:hint="eastAsia" w:ascii="Songti SC Regular" w:hAnsi="Songti SC Regular" w:eastAsia="Songti SC Regular" w:cs="Songti SC Regular"/>
                <w:highlight w:val="none"/>
              </w:rPr>
              <w:t>青春讲师团讲师在申请参加校团委组织的各类政务实习、社会实践、志愿服务、重大活动服务保障等工作中，同等条件下可适当优先。</w:t>
            </w:r>
          </w:p>
          <w:p w14:paraId="1304C5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420" w:firstLineChars="200"/>
              <w:jc w:val="both"/>
              <w:textAlignment w:val="auto"/>
              <w:rPr>
                <w:rFonts w:hint="eastAsia" w:ascii="Songti SC Regular" w:hAnsi="Songti SC Regular" w:eastAsia="Songti SC Regular" w:cs="Songti SC Regular"/>
                <w:highlight w:val="none"/>
                <w:lang w:val="en-US"/>
              </w:rPr>
            </w:pPr>
            <w:r>
              <w:rPr>
                <w:rFonts w:hint="eastAsia" w:ascii="Songti SC Regular" w:hAnsi="Songti SC Regular" w:eastAsia="Songti SC Regular" w:cs="Songti SC Regular"/>
                <w:highlight w:val="none"/>
                <w:lang w:eastAsia="zh-CN"/>
              </w:rPr>
              <w:t>（</w:t>
            </w:r>
            <w:r>
              <w:rPr>
                <w:rFonts w:hint="eastAsia" w:ascii="Songti SC Regular" w:hAnsi="Songti SC Regular" w:eastAsia="Songti SC Regular" w:cs="Songti SC Regular"/>
                <w:highlight w:val="none"/>
                <w:lang w:val="en-US" w:eastAsia="zh-CN"/>
              </w:rPr>
              <w:t>6</w:t>
            </w:r>
            <w:r>
              <w:rPr>
                <w:rFonts w:hint="eastAsia" w:ascii="Songti SC Regular" w:hAnsi="Songti SC Regular" w:eastAsia="Songti SC Regular" w:cs="Songti SC Regular"/>
                <w:highlight w:val="none"/>
                <w:lang w:eastAsia="zh-CN"/>
              </w:rPr>
              <w:t>）</w:t>
            </w:r>
            <w:r>
              <w:rPr>
                <w:rFonts w:hint="eastAsia" w:ascii="Songti SC Regular" w:hAnsi="Songti SC Regular" w:eastAsia="Songti SC Regular" w:cs="Songti SC Regular"/>
                <w:highlight w:val="none"/>
              </w:rPr>
              <w:t>青春讲师团所有讲师任职满一年，均有资格申请竞聘部门负责人，在总团职能部门承担事务性工作并打造个人原创性课程者优先考虑。</w:t>
            </w:r>
          </w:p>
        </w:tc>
      </w:tr>
      <w:tr w14:paraId="49A44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3" w:hRule="atLeast"/>
          <w:jc w:val="center"/>
        </w:trPr>
        <w:tc>
          <w:tcPr>
            <w:tcW w:w="1107" w:type="dxa"/>
            <w:vAlign w:val="center"/>
          </w:tcPr>
          <w:p w14:paraId="51AE1974">
            <w:pPr>
              <w:jc w:val="center"/>
              <w:rPr>
                <w:rFonts w:hint="eastAsia"/>
                <w:bCs/>
                <w:sz w:val="24"/>
                <w:highlight w:val="none"/>
                <w:lang w:val="en-US"/>
              </w:rPr>
            </w:pPr>
            <w:r>
              <w:rPr>
                <w:rFonts w:hint="eastAsia"/>
                <w:bCs/>
                <w:sz w:val="24"/>
                <w:highlight w:val="none"/>
                <w:lang w:val="en-US"/>
              </w:rPr>
              <w:t>特色</w:t>
            </w:r>
          </w:p>
          <w:p w14:paraId="1E847CE2">
            <w:pPr>
              <w:jc w:val="center"/>
              <w:rPr>
                <w:rFonts w:hint="eastAsia"/>
                <w:bCs/>
                <w:sz w:val="24"/>
                <w:highlight w:val="none"/>
                <w:lang w:val="en-US"/>
              </w:rPr>
            </w:pPr>
            <w:r>
              <w:rPr>
                <w:rFonts w:hint="eastAsia"/>
                <w:bCs/>
                <w:sz w:val="24"/>
                <w:highlight w:val="none"/>
                <w:lang w:val="en-US"/>
              </w:rPr>
              <w:t>工作</w:t>
            </w:r>
          </w:p>
          <w:p w14:paraId="4182AC33">
            <w:pPr>
              <w:jc w:val="center"/>
              <w:rPr>
                <w:rFonts w:hint="eastAsia"/>
                <w:bCs/>
                <w:sz w:val="24"/>
                <w:highlight w:val="none"/>
                <w:lang w:val="en-US"/>
              </w:rPr>
            </w:pPr>
            <w:r>
              <w:rPr>
                <w:rFonts w:hint="eastAsia"/>
                <w:bCs/>
                <w:sz w:val="24"/>
                <w:highlight w:val="none"/>
                <w:lang w:val="en-US"/>
              </w:rPr>
              <w:t>成效</w:t>
            </w:r>
          </w:p>
        </w:tc>
        <w:tc>
          <w:tcPr>
            <w:tcW w:w="9008" w:type="dxa"/>
            <w:gridSpan w:val="7"/>
          </w:tcPr>
          <w:p w14:paraId="66A30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420" w:firstLineChars="200"/>
              <w:jc w:val="both"/>
              <w:textAlignment w:val="auto"/>
              <w:rPr>
                <w:rFonts w:hint="eastAsia" w:ascii="Songti SC Regular" w:hAnsi="Songti SC Regular" w:eastAsia="Songti SC Regular" w:cs="Songti SC Regular"/>
                <w:highlight w:val="none"/>
                <w:lang w:val="en-US" w:eastAsia="zh-CN"/>
              </w:rPr>
            </w:pPr>
            <w:r>
              <w:rPr>
                <w:rFonts w:hint="eastAsia" w:ascii="Songti SC Regular" w:hAnsi="Songti SC Regular" w:eastAsia="Songti SC Regular" w:cs="Songti SC Regular"/>
                <w:highlight w:val="none"/>
                <w:lang w:val="en-US" w:eastAsia="zh-CN"/>
              </w:rPr>
              <w:t>截止2025年9月，青春讲师团已</w:t>
            </w:r>
            <w:r>
              <w:rPr>
                <w:rFonts w:hint="eastAsia" w:ascii="Songti SC Regular" w:hAnsi="Songti SC Regular" w:eastAsia="Songti SC Regular" w:cs="Songti SC Regular"/>
                <w:highlight w:val="none"/>
                <w:lang w:val="en-US"/>
              </w:rPr>
              <w:t>原创打造10余个专题超百门宣讲，累计开展宣讲1000余场，覆盖43万余人次，“我和我的冬奥故事”青春宣讲团获评“北京市青年突击队”，青春讲师团获评北京市2023年度团建百强项目，入选《人民网》2023年高校思政课改革创新典型案例。</w:t>
            </w:r>
          </w:p>
        </w:tc>
      </w:tr>
    </w:tbl>
    <w:p w14:paraId="5226A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 w:ascii="Songti SC Regular" w:hAnsi="Songti SC Regular" w:eastAsia="Songti SC Regular" w:cs="Songti SC Regular"/>
          <w:b w:val="0"/>
          <w:bCs w:val="0"/>
          <w:highlight w:val="none"/>
          <w:lang w:val="en-US"/>
        </w:rPr>
        <w:t>附</w:t>
      </w:r>
      <w:r>
        <w:rPr>
          <w:rFonts w:hint="eastAsia" w:ascii="Songti SC Regular" w:hAnsi="Songti SC Regular" w:eastAsia="Songti SC Regular" w:cs="Songti SC Regular"/>
          <w:b w:val="0"/>
          <w:bCs w:val="0"/>
          <w:highlight w:val="none"/>
        </w:rPr>
        <w:t>：</w:t>
      </w:r>
      <w:r>
        <w:rPr>
          <w:rFonts w:hint="eastAsia" w:ascii="Songti SC Regular" w:hAnsi="Songti SC Regular" w:eastAsia="Songti SC Regular" w:cs="Songti SC Regular"/>
          <w:b w:val="0"/>
          <w:bCs w:val="0"/>
          <w:highlight w:val="none"/>
          <w:lang w:val="en-US"/>
        </w:rPr>
        <w:t>各类活动图片及证明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Songti SC Regular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E34EF5"/>
    <w:rsid w:val="289870A9"/>
    <w:rsid w:val="502F943C"/>
    <w:rsid w:val="6C620317"/>
    <w:rsid w:val="F5ED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2301</Words>
  <Characters>2349</Characters>
  <Paragraphs>57</Paragraphs>
  <TotalTime>84</TotalTime>
  <ScaleCrop>false</ScaleCrop>
  <LinksUpToDate>false</LinksUpToDate>
  <CharactersWithSpaces>2353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2022-11-09T05:37:00Z</dcterms:created>
  <dc:creator>xinyuli</dc:creator>
  <cp:lastModifiedBy>付姝瑜</cp:lastModifiedBy>
  <dcterms:modified xsi:type="dcterms:W3CDTF">2026-10-19T11:22:23Z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C9BD15F865D147EF819A1D7A8FC87AC5_13</vt:lpwstr>
  </property>
  <property fmtid="{D5CDD505-2E9C-101B-9397-08002B2CF9AE}" pid="4" name="KSOTemplateDocerSaveRecord">
    <vt:lpwstr>eyJoZGlkIjoiODRkOGE1NjE3ZGIwZTMxZTExZDVhNjJmNWZlODc1MDYiLCJ1c2VySWQiOiIxNjM1MjA4MjQ4In0=</vt:lpwstr>
  </property>
</Properties>
</file>